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14980" w14:textId="2E1FB04C" w:rsidR="00A729F5" w:rsidRPr="00DA12F7" w:rsidRDefault="00A729F5" w:rsidP="00A729F5">
      <w:pPr>
        <w:tabs>
          <w:tab w:val="right" w:pos="9630"/>
        </w:tabs>
        <w:spacing w:after="0"/>
      </w:pPr>
      <w:r w:rsidRPr="00DA12F7">
        <w:rPr>
          <w:rFonts w:ascii="Arial" w:hAnsi="Arial" w:cs="Arial"/>
          <w:b/>
          <w:sz w:val="24"/>
        </w:rPr>
        <w:t xml:space="preserve">3GPP TSG RAN WG1 </w:t>
      </w:r>
      <w:r w:rsidR="00FF00B6">
        <w:rPr>
          <w:rFonts w:ascii="Arial" w:hAnsi="Arial" w:cs="Arial"/>
          <w:b/>
          <w:sz w:val="24"/>
        </w:rPr>
        <w:t>#90bis</w:t>
      </w:r>
      <w:r w:rsidRPr="00DA12F7">
        <w:rPr>
          <w:rFonts w:ascii="Arial" w:hAnsi="Arial" w:cs="Arial"/>
          <w:b/>
          <w:sz w:val="24"/>
        </w:rPr>
        <w:tab/>
        <w:t>R1-</w:t>
      </w:r>
      <w:r w:rsidR="00B0015C">
        <w:rPr>
          <w:rFonts w:ascii="Arial" w:hAnsi="Arial" w:cs="Arial"/>
          <w:b/>
          <w:sz w:val="24"/>
        </w:rPr>
        <w:t>17</w:t>
      </w:r>
      <w:r w:rsidR="0015638B" w:rsidRPr="0015638B">
        <w:rPr>
          <w:rFonts w:ascii="Arial" w:hAnsi="Arial" w:cs="Arial"/>
          <w:b/>
          <w:sz w:val="24"/>
        </w:rPr>
        <w:t>18580</w:t>
      </w:r>
    </w:p>
    <w:p w14:paraId="0C2D9163" w14:textId="08CC0EF2" w:rsidR="00A729F5" w:rsidRPr="00DA12F7" w:rsidRDefault="00FC6C9B" w:rsidP="00A729F5">
      <w:pPr>
        <w:tabs>
          <w:tab w:val="right" w:pos="9630"/>
        </w:tabs>
        <w:spacing w:after="0"/>
        <w:rPr>
          <w:rFonts w:ascii="Arial" w:hAnsi="Arial" w:cs="Arial"/>
          <w:b/>
          <w:sz w:val="24"/>
          <w:szCs w:val="24"/>
        </w:rPr>
      </w:pPr>
      <w:r w:rsidRPr="00AB5E39">
        <w:rPr>
          <w:rFonts w:ascii="Arial" w:hAnsi="Arial" w:cs="Arial"/>
          <w:b/>
          <w:sz w:val="24"/>
          <w:szCs w:val="24"/>
        </w:rPr>
        <w:t xml:space="preserve">Prague, </w:t>
      </w:r>
      <w:r>
        <w:rPr>
          <w:rFonts w:ascii="Arial" w:hAnsi="Arial" w:cs="Arial"/>
          <w:b/>
          <w:sz w:val="24"/>
          <w:szCs w:val="24"/>
        </w:rPr>
        <w:t>Czech Republic</w:t>
      </w:r>
      <w:r w:rsidRPr="00AB5E39">
        <w:rPr>
          <w:rFonts w:ascii="Arial" w:hAnsi="Arial" w:cs="Arial"/>
          <w:b/>
          <w:sz w:val="24"/>
          <w:szCs w:val="24"/>
        </w:rPr>
        <w:t xml:space="preserve">, </w:t>
      </w:r>
      <w:r>
        <w:rPr>
          <w:rFonts w:ascii="Arial" w:hAnsi="Arial" w:cs="Arial"/>
          <w:b/>
          <w:sz w:val="24"/>
          <w:szCs w:val="24"/>
        </w:rPr>
        <w:t xml:space="preserve">October </w:t>
      </w:r>
      <w:r w:rsidRPr="00AB5E39">
        <w:rPr>
          <w:rFonts w:ascii="Arial" w:hAnsi="Arial" w:cs="Arial"/>
          <w:b/>
          <w:sz w:val="24"/>
          <w:szCs w:val="24"/>
        </w:rPr>
        <w:t>9</w:t>
      </w:r>
      <w:r w:rsidRPr="00F66FCF">
        <w:rPr>
          <w:rFonts w:ascii="Arial" w:hAnsi="Arial" w:cs="Arial"/>
          <w:b/>
          <w:sz w:val="24"/>
          <w:szCs w:val="24"/>
          <w:vertAlign w:val="superscript"/>
        </w:rPr>
        <w:t>th</w:t>
      </w:r>
      <w:r w:rsidRPr="00AB5E39">
        <w:rPr>
          <w:rFonts w:ascii="Arial" w:hAnsi="Arial" w:cs="Arial"/>
          <w:b/>
          <w:sz w:val="24"/>
          <w:szCs w:val="24"/>
        </w:rPr>
        <w:t xml:space="preserve"> – 13</w:t>
      </w:r>
      <w:r w:rsidRPr="00F66FCF">
        <w:rPr>
          <w:rFonts w:ascii="Arial" w:hAnsi="Arial" w:cs="Arial"/>
          <w:b/>
          <w:sz w:val="24"/>
          <w:szCs w:val="24"/>
          <w:vertAlign w:val="superscript"/>
        </w:rPr>
        <w:t>th</w:t>
      </w:r>
      <w:r w:rsidRPr="00AB5E39">
        <w:rPr>
          <w:rFonts w:ascii="Arial" w:hAnsi="Arial" w:cs="Arial"/>
          <w:b/>
          <w:sz w:val="24"/>
          <w:szCs w:val="24"/>
        </w:rPr>
        <w:t>, 2017</w:t>
      </w:r>
    </w:p>
    <w:p w14:paraId="43B7F87B" w14:textId="77777777" w:rsidR="0068226B" w:rsidRPr="000A64D8" w:rsidRDefault="0068226B" w:rsidP="00480B03">
      <w:pPr>
        <w:pStyle w:val="Footer"/>
        <w:jc w:val="both"/>
        <w:rPr>
          <w:noProof w:val="0"/>
        </w:rPr>
      </w:pPr>
    </w:p>
    <w:p w14:paraId="43B7F87C" w14:textId="17661E28"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FF00B6">
        <w:rPr>
          <w:rFonts w:ascii="Arial" w:hAnsi="Arial"/>
          <w:sz w:val="24"/>
        </w:rPr>
        <w:t>7</w:t>
      </w:r>
      <w:r w:rsidR="00955C57">
        <w:rPr>
          <w:rFonts w:ascii="Arial" w:hAnsi="Arial"/>
          <w:sz w:val="24"/>
        </w:rPr>
        <w:t>.3.</w:t>
      </w:r>
      <w:r w:rsidR="008708B4">
        <w:rPr>
          <w:rFonts w:ascii="Arial" w:hAnsi="Arial"/>
          <w:sz w:val="24"/>
        </w:rPr>
        <w:t>4</w:t>
      </w:r>
      <w:r w:rsidR="00FF00B6">
        <w:rPr>
          <w:rFonts w:ascii="Arial" w:hAnsi="Arial"/>
          <w:sz w:val="24"/>
        </w:rPr>
        <w:t>.</w:t>
      </w:r>
      <w:r w:rsidR="00FC6C9B">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0100B7F2" w:rsidR="00C10599" w:rsidRPr="0007796D"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F00B6">
        <w:rPr>
          <w:rFonts w:ascii="Arial" w:hAnsi="Arial"/>
          <w:sz w:val="22"/>
        </w:rPr>
        <w:t xml:space="preserve">Open Issues on </w:t>
      </w:r>
      <w:r w:rsidR="005F76BE">
        <w:rPr>
          <w:rFonts w:ascii="Arial" w:hAnsi="Arial"/>
          <w:sz w:val="24"/>
          <w:szCs w:val="24"/>
        </w:rPr>
        <w:t>BWP</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5F9B6AB3" w14:textId="139D6E1F" w:rsidR="00E4038C" w:rsidRDefault="007429CA" w:rsidP="00E4038C">
      <w:pPr>
        <w:pStyle w:val="Heading1"/>
        <w:textAlignment w:val="auto"/>
      </w:pPr>
      <w:r>
        <w:t>Background</w:t>
      </w:r>
    </w:p>
    <w:p w14:paraId="7B7D4EBF" w14:textId="7825E780" w:rsidR="007429CA" w:rsidRDefault="007429CA" w:rsidP="007429CA">
      <w:pPr>
        <w:jc w:val="both"/>
        <w:rPr>
          <w:szCs w:val="22"/>
        </w:rPr>
      </w:pPr>
      <w:r>
        <w:rPr>
          <w:szCs w:val="22"/>
        </w:rPr>
        <w:t>In RAN1 #86bis meeting, bandwidth adaptation facilitating DL control information monitoring over a narrower bandwidth was agreed. The motivation was primarily driven by UE power saving.</w:t>
      </w:r>
      <w:r w:rsidRPr="00BC3BB2">
        <w:rPr>
          <w:szCs w:val="22"/>
        </w:rPr>
        <w:t xml:space="preserve"> </w:t>
      </w:r>
      <w:r>
        <w:rPr>
          <w:szCs w:val="22"/>
        </w:rPr>
        <w:t>In the same meeting, support for cross-slot scheduling for DL was also agreed.</w:t>
      </w:r>
      <w:r>
        <w:rPr>
          <w:szCs w:val="22"/>
        </w:rPr>
        <w:fldChar w:fldCharType="begin"/>
      </w:r>
      <w:r>
        <w:rPr>
          <w:szCs w:val="22"/>
        </w:rPr>
        <w:instrText xml:space="preserve"> REF _Ref489663439 \r \h </w:instrText>
      </w:r>
      <w:r>
        <w:rPr>
          <w:szCs w:val="22"/>
        </w:rPr>
      </w:r>
      <w:r>
        <w:rPr>
          <w:szCs w:val="22"/>
        </w:rPr>
        <w:fldChar w:fldCharType="separate"/>
      </w:r>
      <w:r w:rsidR="00686644">
        <w:rPr>
          <w:szCs w:val="22"/>
        </w:rPr>
        <w:t>[1]</w:t>
      </w:r>
      <w:r>
        <w:rPr>
          <w:szCs w:val="22"/>
        </w:rPr>
        <w:fldChar w:fldCharType="end"/>
      </w:r>
    </w:p>
    <w:p w14:paraId="79C31F29" w14:textId="16955611" w:rsidR="007429CA" w:rsidRPr="009F14F1" w:rsidRDefault="007429CA" w:rsidP="009F14F1">
      <w:pPr>
        <w:jc w:val="both"/>
        <w:rPr>
          <w:szCs w:val="22"/>
        </w:rPr>
      </w:pPr>
      <w:r>
        <w:rPr>
          <w:szCs w:val="22"/>
        </w:rPr>
        <w:t>The term “bandwidth-part” (BWP) was introduced to refer to the portion of the bandwidth within which the UE operates.</w:t>
      </w:r>
    </w:p>
    <w:p w14:paraId="1F45F61B" w14:textId="0D45339C" w:rsidR="00CB27D1" w:rsidRDefault="007429CA" w:rsidP="00D76326">
      <w:r>
        <w:rPr>
          <w:lang w:val="en-GB"/>
        </w:rPr>
        <w:t xml:space="preserve">In RAN1 NR AH#3, </w:t>
      </w:r>
      <w:r w:rsidR="00D76326">
        <w:rPr>
          <w:lang w:val="en-GB"/>
        </w:rPr>
        <w:t xml:space="preserve">there </w:t>
      </w:r>
      <w:r w:rsidR="00A2384B">
        <w:rPr>
          <w:lang w:val="en-GB"/>
        </w:rPr>
        <w:t>was</w:t>
      </w:r>
      <w:r w:rsidR="00D76326">
        <w:rPr>
          <w:lang w:val="en-GB"/>
        </w:rPr>
        <w:t xml:space="preserve"> an offline discussion followed by email discussion</w:t>
      </w:r>
      <w:r w:rsidR="0036059C">
        <w:rPr>
          <w:lang w:val="en-GB"/>
        </w:rPr>
        <w:t>s</w:t>
      </w:r>
      <w:r w:rsidR="00D76326">
        <w:rPr>
          <w:lang w:val="en-GB"/>
        </w:rPr>
        <w:t xml:space="preserve"> on the remaining issues on BWP.</w:t>
      </w:r>
    </w:p>
    <w:p w14:paraId="3AAAC1AD" w14:textId="0E0E6400" w:rsidR="00142FBC" w:rsidRDefault="00142FBC" w:rsidP="00E4038C">
      <w:pPr>
        <w:spacing w:after="120"/>
      </w:pPr>
      <w:r>
        <w:t xml:space="preserve">In this contribution, </w:t>
      </w:r>
      <w:r w:rsidR="0038040A">
        <w:t xml:space="preserve">we will review </w:t>
      </w:r>
      <w:r w:rsidR="00D00096">
        <w:t xml:space="preserve">some aspects of UE power saving </w:t>
      </w:r>
      <w:r w:rsidR="00793319">
        <w:t>and the connections to</w:t>
      </w:r>
      <w:r w:rsidR="00D00096">
        <w:t xml:space="preserve"> BWP, and discuss </w:t>
      </w:r>
      <w:r>
        <w:t xml:space="preserve">some of the </w:t>
      </w:r>
      <w:r w:rsidR="00D00096">
        <w:t xml:space="preserve">remaining </w:t>
      </w:r>
      <w:r>
        <w:t>issues on BWP.</w:t>
      </w:r>
    </w:p>
    <w:p w14:paraId="41570371" w14:textId="30411DBD" w:rsidR="007429CA" w:rsidRDefault="007429CA" w:rsidP="00E4038C">
      <w:pPr>
        <w:spacing w:after="120"/>
      </w:pPr>
    </w:p>
    <w:p w14:paraId="115B1C34" w14:textId="4D1EA3D1" w:rsidR="00CF0EA3" w:rsidRDefault="00D021B4" w:rsidP="00CF0EA3">
      <w:pPr>
        <w:pStyle w:val="Heading1"/>
      </w:pPr>
      <w:r>
        <w:t>Discussion</w:t>
      </w:r>
    </w:p>
    <w:p w14:paraId="45CA5DA2" w14:textId="0F3447C5" w:rsidR="00B14994" w:rsidRDefault="00B14994" w:rsidP="002B15CF">
      <w:pPr>
        <w:pStyle w:val="Heading2"/>
      </w:pPr>
      <w:r>
        <w:t>UE Power Saving</w:t>
      </w:r>
      <w:r w:rsidR="0055228D">
        <w:t xml:space="preserve"> in Active State</w:t>
      </w:r>
    </w:p>
    <w:p w14:paraId="0D3B58A4" w14:textId="4410206A" w:rsidR="002B1015" w:rsidRDefault="002B1015" w:rsidP="002B1015">
      <w:pPr>
        <w:rPr>
          <w:lang w:val="en-GB"/>
        </w:rPr>
      </w:pPr>
      <w:r>
        <w:rPr>
          <w:lang w:val="en-GB"/>
        </w:rPr>
        <w:t xml:space="preserve">One of the main motivations for bandwidth part is UE power saving. It is primarily focused on adaptation of frequency domain bandwidth to optimize for power consumption. </w:t>
      </w:r>
      <w:r w:rsidR="00984235">
        <w:rPr>
          <w:lang w:val="en-GB"/>
        </w:rPr>
        <w:t xml:space="preserve">As </w:t>
      </w:r>
      <w:r>
        <w:rPr>
          <w:lang w:val="en-GB"/>
        </w:rPr>
        <w:t>the configuration and signalling framework</w:t>
      </w:r>
      <w:r w:rsidR="00984235">
        <w:rPr>
          <w:lang w:val="en-GB"/>
        </w:rPr>
        <w:t xml:space="preserve"> for BWP is taking shape</w:t>
      </w:r>
      <w:r>
        <w:rPr>
          <w:lang w:val="en-GB"/>
        </w:rPr>
        <w:t xml:space="preserve">, support for time-domain power saving techniques should also be considered. </w:t>
      </w:r>
      <w:r w:rsidR="000B3838">
        <w:rPr>
          <w:lang w:val="en-GB"/>
        </w:rPr>
        <w:t>From UE power saving and implementation perspective, frequency-domain and time-domain techniques should be jointly considered, b</w:t>
      </w:r>
      <w:r w:rsidR="009561E9">
        <w:rPr>
          <w:lang w:val="en-GB"/>
        </w:rPr>
        <w:t xml:space="preserve">ecause the voltage, clock frequency, and </w:t>
      </w:r>
      <w:r w:rsidR="000B3838">
        <w:rPr>
          <w:lang w:val="en-GB"/>
        </w:rPr>
        <w:t xml:space="preserve">hardware throughput design are often intertwined. </w:t>
      </w:r>
      <w:r>
        <w:rPr>
          <w:lang w:val="en-GB"/>
        </w:rPr>
        <w:t xml:space="preserve">If these can be integrated, NR would have </w:t>
      </w:r>
      <w:r w:rsidR="009561E9">
        <w:rPr>
          <w:lang w:val="en-GB"/>
        </w:rPr>
        <w:t xml:space="preserve">a common </w:t>
      </w:r>
      <w:r>
        <w:rPr>
          <w:lang w:val="en-GB"/>
        </w:rPr>
        <w:t>framework for UE power saving, which would</w:t>
      </w:r>
      <w:r w:rsidR="00913EAE">
        <w:rPr>
          <w:lang w:val="en-GB"/>
        </w:rPr>
        <w:t xml:space="preserve"> significantly</w:t>
      </w:r>
      <w:r>
        <w:rPr>
          <w:lang w:val="en-GB"/>
        </w:rPr>
        <w:t xml:space="preserve"> decrease the risk that the </w:t>
      </w:r>
      <w:r w:rsidR="00DF6238">
        <w:rPr>
          <w:lang w:val="en-GB"/>
        </w:rPr>
        <w:t xml:space="preserve">devices built to support </w:t>
      </w:r>
      <w:r>
        <w:rPr>
          <w:lang w:val="en-GB"/>
        </w:rPr>
        <w:t>the first release of NR would be inferior in terms of UE power efficiency compared to LTE.</w:t>
      </w:r>
    </w:p>
    <w:p w14:paraId="2F459A5E" w14:textId="77777777" w:rsidR="002B1015" w:rsidRPr="002B1015" w:rsidRDefault="002B1015" w:rsidP="002B1015">
      <w:pPr>
        <w:rPr>
          <w:lang w:val="en-GB"/>
        </w:rPr>
      </w:pPr>
    </w:p>
    <w:p w14:paraId="13119B37" w14:textId="36DDD8AA" w:rsidR="00B14994" w:rsidRDefault="00B14994" w:rsidP="00B14994">
      <w:pPr>
        <w:pStyle w:val="Heading3"/>
      </w:pPr>
      <w:r>
        <w:t>PDCCH Monitoring Periodicity and Scheduling Parameter k0</w:t>
      </w:r>
    </w:p>
    <w:p w14:paraId="257C5A15" w14:textId="77777777" w:rsidR="00B14994" w:rsidRPr="00135737" w:rsidRDefault="00B14994" w:rsidP="00B14994">
      <w:pPr>
        <w:rPr>
          <w:b/>
          <w:u w:val="single"/>
          <w:lang w:val="en-GB"/>
        </w:rPr>
      </w:pPr>
      <w:r w:rsidRPr="00135737">
        <w:rPr>
          <w:b/>
          <w:u w:val="single"/>
          <w:lang w:val="en-GB"/>
        </w:rPr>
        <w:t>PDCCH Monitoring Periodicity</w:t>
      </w:r>
    </w:p>
    <w:p w14:paraId="2E98ADF3" w14:textId="4492FEAA" w:rsidR="00B14994" w:rsidRDefault="00B14994" w:rsidP="00B14994">
      <w:pPr>
        <w:rPr>
          <w:lang w:val="en-GB"/>
        </w:rPr>
      </w:pPr>
      <w:r>
        <w:rPr>
          <w:lang w:val="en-GB"/>
        </w:rPr>
        <w:t xml:space="preserve">Monitoring PDCCH in every slot facilitates the smallest scheduling latency. Generally, there is a tradeoff between latency and power consumption. </w:t>
      </w:r>
      <w:r w:rsidR="00785AF5">
        <w:rPr>
          <w:lang w:val="en-GB"/>
        </w:rPr>
        <w:t xml:space="preserve">With longer time interval between PDCCH occasions, in addition to the direct gain from duty cycle reduction, UE implementation may be able to go into deeper sleep in between. </w:t>
      </w:r>
      <w:r>
        <w:rPr>
          <w:lang w:val="en-GB"/>
        </w:rPr>
        <w:t xml:space="preserve">The PDCCH monitoring periodicity should be configurable to a multiple of slots to allow this tradeoff. Especially for very short slot duration (e.g. for 120kHz SCS, slot duration is only 0.125 milliseconds), gNB and UE can agree that PDCCH should be monitored only at certain slot periodicity, even during active state, in order to save power. </w:t>
      </w:r>
      <w:r w:rsidDel="00785AF5">
        <w:rPr>
          <w:lang w:val="en-GB"/>
        </w:rPr>
        <w:t>One drawback is that some slots may not be schedulable.</w:t>
      </w:r>
    </w:p>
    <w:p w14:paraId="54F0C252" w14:textId="10BB0D3C" w:rsidR="009B63EA" w:rsidRDefault="009B63EA" w:rsidP="009B63EA">
      <w:pPr>
        <w:pStyle w:val="Caption"/>
        <w:rPr>
          <w:b w:val="0"/>
          <w:lang w:val="en-GB"/>
        </w:rPr>
      </w:pPr>
      <w:bookmarkStart w:id="2" w:name="_Toc494572743"/>
      <w:bookmarkStart w:id="3" w:name="_Toc494577096"/>
      <w:bookmarkStart w:id="4" w:name="_Toc494577147"/>
      <w:bookmarkStart w:id="5" w:name="_Toc494577215"/>
      <w:bookmarkStart w:id="6" w:name="_Toc494705620"/>
      <w:bookmarkStart w:id="7" w:name="_Toc494706195"/>
      <w:bookmarkStart w:id="8" w:name="_Toc494706597"/>
      <w:bookmarkStart w:id="9" w:name="_Toc494718919"/>
      <w:bookmarkStart w:id="10" w:name="_Toc494718941"/>
      <w:bookmarkStart w:id="11" w:name="_Toc494741484"/>
      <w:r>
        <w:t xml:space="preserve">Observation </w:t>
      </w:r>
      <w:r w:rsidR="00744E5D">
        <w:fldChar w:fldCharType="begin"/>
      </w:r>
      <w:r w:rsidR="00744E5D">
        <w:instrText xml:space="preserve"> SEQ Observation \* ARABIC </w:instrText>
      </w:r>
      <w:r w:rsidR="00744E5D">
        <w:fldChar w:fldCharType="separate"/>
      </w:r>
      <w:r w:rsidR="00686644">
        <w:rPr>
          <w:noProof/>
        </w:rPr>
        <w:t>1</w:t>
      </w:r>
      <w:r w:rsidR="00744E5D">
        <w:rPr>
          <w:noProof/>
        </w:rPr>
        <w:fldChar w:fldCharType="end"/>
      </w:r>
      <w:r>
        <w:t xml:space="preserve">: </w:t>
      </w:r>
      <w:r>
        <w:rPr>
          <w:lang w:val="en-GB"/>
        </w:rPr>
        <w:t>Larger PDCCH monitoring periodicity reduces power consumption due to reduced duty cycle.</w:t>
      </w:r>
      <w:bookmarkEnd w:id="2"/>
      <w:bookmarkEnd w:id="3"/>
      <w:bookmarkEnd w:id="4"/>
      <w:bookmarkEnd w:id="5"/>
      <w:bookmarkEnd w:id="6"/>
      <w:bookmarkEnd w:id="7"/>
      <w:bookmarkEnd w:id="8"/>
      <w:bookmarkEnd w:id="9"/>
      <w:bookmarkEnd w:id="10"/>
      <w:bookmarkEnd w:id="11"/>
    </w:p>
    <w:p w14:paraId="23A00DBA" w14:textId="39B18497" w:rsidR="000B5E13" w:rsidRDefault="00B14994" w:rsidP="00B14994">
      <w:pPr>
        <w:rPr>
          <w:lang w:val="en-GB"/>
        </w:rPr>
      </w:pPr>
      <w:r>
        <w:rPr>
          <w:lang w:val="en-GB"/>
        </w:rPr>
        <w:t>RAN1 has already agreed that at least one CORESET is configur</w:t>
      </w:r>
      <w:r w:rsidR="00917E0B">
        <w:rPr>
          <w:lang w:val="en-GB"/>
        </w:rPr>
        <w:t xml:space="preserve">ed per BWP </w:t>
      </w:r>
      <w:r w:rsidR="00917E0B">
        <w:rPr>
          <w:lang w:val="en-GB"/>
        </w:rPr>
        <w:fldChar w:fldCharType="begin"/>
      </w:r>
      <w:r w:rsidR="00917E0B">
        <w:rPr>
          <w:lang w:val="en-GB"/>
        </w:rPr>
        <w:instrText xml:space="preserve"> REF _Ref494545744 \r \h </w:instrText>
      </w:r>
      <w:r w:rsidR="00917E0B">
        <w:rPr>
          <w:lang w:val="en-GB"/>
        </w:rPr>
      </w:r>
      <w:r w:rsidR="00917E0B">
        <w:rPr>
          <w:lang w:val="en-GB"/>
        </w:rPr>
        <w:fldChar w:fldCharType="separate"/>
      </w:r>
      <w:r w:rsidR="00686644">
        <w:rPr>
          <w:lang w:val="en-GB"/>
        </w:rPr>
        <w:t>[5]</w:t>
      </w:r>
      <w:r w:rsidR="00917E0B">
        <w:rPr>
          <w:lang w:val="en-GB"/>
        </w:rPr>
        <w:fldChar w:fldCharType="end"/>
      </w:r>
      <w:r w:rsidR="00917E0B">
        <w:rPr>
          <w:lang w:val="en-GB"/>
        </w:rPr>
        <w:t>.</w:t>
      </w:r>
      <w:r>
        <w:rPr>
          <w:lang w:val="en-GB"/>
        </w:rPr>
        <w:t xml:space="preserve"> PDCCH monitoring periodicity is an attribute of CORESET configuration. Therefore it is already implied that PDCCH monitoring periodicity configuration can </w:t>
      </w:r>
      <w:r w:rsidR="00CF676B">
        <w:rPr>
          <w:lang w:val="en-GB"/>
        </w:rPr>
        <w:t xml:space="preserve">also </w:t>
      </w:r>
      <w:r>
        <w:rPr>
          <w:lang w:val="en-GB"/>
        </w:rPr>
        <w:t xml:space="preserve">be BWP-specific, and it can be configured as part of </w:t>
      </w:r>
      <w:r w:rsidR="00EB52F4">
        <w:rPr>
          <w:lang w:val="en-GB"/>
        </w:rPr>
        <w:t>CORESET configuration associated with a BWP</w:t>
      </w:r>
      <w:r>
        <w:rPr>
          <w:lang w:val="en-GB"/>
        </w:rPr>
        <w:t>.</w:t>
      </w:r>
    </w:p>
    <w:p w14:paraId="54B3B96A" w14:textId="77777777" w:rsidR="00B14994" w:rsidRPr="00CB797B" w:rsidRDefault="00B14994" w:rsidP="00B14994">
      <w:pPr>
        <w:rPr>
          <w:b/>
          <w:u w:val="single"/>
          <w:lang w:val="en-GB"/>
        </w:rPr>
      </w:pPr>
      <w:r w:rsidRPr="00CB797B">
        <w:rPr>
          <w:b/>
          <w:u w:val="single"/>
          <w:lang w:val="en-GB"/>
        </w:rPr>
        <w:t xml:space="preserve">Microsleep </w:t>
      </w:r>
    </w:p>
    <w:p w14:paraId="0DDCEF54" w14:textId="77777777" w:rsidR="00B14994" w:rsidRDefault="00B14994" w:rsidP="00B14994">
      <w:pPr>
        <w:rPr>
          <w:lang w:val="en-GB"/>
        </w:rPr>
      </w:pPr>
      <w:r>
        <w:rPr>
          <w:lang w:val="en-GB"/>
        </w:rPr>
        <w:t xml:space="preserve">Microsleep is a technique to put some of the modem’s hardware into sleep mode for the data portion of a slot (or subframe in LTE), if no DL grant has been decoded for the slot. However, the extent of power saving that can be </w:t>
      </w:r>
      <w:r>
        <w:rPr>
          <w:lang w:val="en-GB"/>
        </w:rPr>
        <w:lastRenderedPageBreak/>
        <w:t>achieved with microsleep for LTE is fairly limited. First, due to short time scale of the sleep, only a limited number of hardware blocks (e.g. RF circuitry) can be put into sleep mode. Second, there is dependency on the same slot grant, which is not decoded until at least several symbols after the last DL control symbols. For NR, DL control channel decoding complexity is likely to be improved from LTE; However, given that the main use case for subcarrier spacing is likely to be 30kHz or higher, the slot duration is also going to be reduced to half of the subframe duration or even less. This poses challenges for the extent of power saving that microsleep can achieve.</w:t>
      </w:r>
    </w:p>
    <w:p w14:paraId="6FD6187E" w14:textId="77777777" w:rsidR="00B14994" w:rsidRDefault="00B14994" w:rsidP="00B14994">
      <w:pPr>
        <w:rPr>
          <w:lang w:val="en-GB"/>
        </w:rPr>
      </w:pPr>
      <w:r w:rsidRPr="00CB797B">
        <w:rPr>
          <w:b/>
          <w:u w:val="single"/>
          <w:lang w:val="en-GB"/>
        </w:rPr>
        <w:t>Cross-Slot Scheduling</w:t>
      </w:r>
    </w:p>
    <w:p w14:paraId="037695B5" w14:textId="518D97CF" w:rsidR="00B14994" w:rsidRDefault="00B14994" w:rsidP="00B14994">
      <w:pPr>
        <w:rPr>
          <w:lang w:val="en-GB"/>
        </w:rPr>
      </w:pPr>
      <w:r>
        <w:rPr>
          <w:lang w:val="en-GB"/>
        </w:rPr>
        <w:t>If the grant can be transmitted at least one slot in advance, i.e. data assignment being cross-slot scheduled, DL control channel processing would not be in the critical timeline for microsleep decision. Suppose in Slot n, UE knows from decoding the PDCCH that there is no grant for the Slot n+1; During Slot n+1, it only needs to buffer up first few symbols containing the PDCCH, and can immediately go into microsleep for the rest of the slot. During microsleep in Slot n+1, the modem can still operate in low power mode and process the PDCCH based on the captured Rx samples. Overall, the duration achievable for microsleep would be close to the entire data portion of the slot.</w:t>
      </w:r>
      <w:r w:rsidR="00D64D11">
        <w:rPr>
          <w:lang w:val="en-GB"/>
        </w:rPr>
        <w:t xml:space="preserve"> Similar observations have been confirmed in another company’s contributions </w:t>
      </w:r>
      <w:r w:rsidR="00D64D11">
        <w:rPr>
          <w:lang w:val="en-GB"/>
        </w:rPr>
        <w:fldChar w:fldCharType="begin"/>
      </w:r>
      <w:r w:rsidR="00D64D11">
        <w:rPr>
          <w:lang w:val="en-GB"/>
        </w:rPr>
        <w:instrText xml:space="preserve"> REF _Ref485406800 \r \h </w:instrText>
      </w:r>
      <w:r w:rsidR="00D64D11">
        <w:rPr>
          <w:lang w:val="en-GB"/>
        </w:rPr>
      </w:r>
      <w:r w:rsidR="00D64D11">
        <w:rPr>
          <w:lang w:val="en-GB"/>
        </w:rPr>
        <w:fldChar w:fldCharType="separate"/>
      </w:r>
      <w:r w:rsidR="00686644">
        <w:rPr>
          <w:lang w:val="en-GB"/>
        </w:rPr>
        <w:t>[2]</w:t>
      </w:r>
      <w:r w:rsidR="00D64D11">
        <w:rPr>
          <w:lang w:val="en-GB"/>
        </w:rPr>
        <w:fldChar w:fldCharType="end"/>
      </w:r>
      <w:r w:rsidR="00D64D11">
        <w:rPr>
          <w:lang w:val="en-GB"/>
        </w:rPr>
        <w:fldChar w:fldCharType="begin"/>
      </w:r>
      <w:r w:rsidR="00D64D11">
        <w:rPr>
          <w:lang w:val="en-GB"/>
        </w:rPr>
        <w:instrText xml:space="preserve"> REF _Ref485406843 \r \h </w:instrText>
      </w:r>
      <w:r w:rsidR="00D64D11">
        <w:rPr>
          <w:lang w:val="en-GB"/>
        </w:rPr>
      </w:r>
      <w:r w:rsidR="00D64D11">
        <w:rPr>
          <w:lang w:val="en-GB"/>
        </w:rPr>
        <w:fldChar w:fldCharType="separate"/>
      </w:r>
      <w:r w:rsidR="00686644">
        <w:rPr>
          <w:lang w:val="en-GB"/>
        </w:rPr>
        <w:t>[3]</w:t>
      </w:r>
      <w:r w:rsidR="00D64D11">
        <w:rPr>
          <w:lang w:val="en-GB"/>
        </w:rPr>
        <w:fldChar w:fldCharType="end"/>
      </w:r>
      <w:r w:rsidR="00D64D11">
        <w:rPr>
          <w:lang w:val="en-GB"/>
        </w:rPr>
        <w:t xml:space="preserve">. </w:t>
      </w:r>
    </w:p>
    <w:p w14:paraId="775A0503" w14:textId="77A40C84" w:rsidR="00B14994" w:rsidRDefault="00B14994" w:rsidP="00B14994">
      <w:r>
        <w:rPr>
          <w:lang w:val="en-GB"/>
        </w:rPr>
        <w:t>Cross-slot scheduling, especially across multiple slots, and configuration of sparser PDCCH monitoring periodicity tend to increase scheduling latency. On the other hand, such techniques tend to allow further power consumption reduction. In addition to better microsleep, cross-slot scheduling opens up opportunities for additional power saving if UE implementation takes advantage of it.</w:t>
      </w:r>
    </w:p>
    <w:p w14:paraId="537F3023" w14:textId="77777777" w:rsidR="00B14994" w:rsidRDefault="00B14994" w:rsidP="00B14994">
      <w:r>
        <w:rPr>
          <w:lang w:val="en-GB"/>
        </w:rPr>
        <w:t>To understand why additional power saving can be attained with cross-slot/cross-multiple-slot scheduling, it is important to be aware of an VLSI technique called DVFS (dynamic voltage frequency scaling). With DVFS, the voltage and clock frequency of a digital circuit can be dynamically adapted to fit the tasks at hand, and significant power saving ensues compared to always running the voltage and clock frequency at the peak settings. However, there is a physical constraint for how fast the adaptation can happen.</w:t>
      </w:r>
    </w:p>
    <w:p w14:paraId="516685DB" w14:textId="77777777" w:rsidR="00B14994" w:rsidRDefault="00B14994" w:rsidP="00B14994">
      <w:r>
        <w:rPr>
          <w:lang w:val="en-GB"/>
        </w:rPr>
        <w:t>In a grossly simplified view, the modem could be considered the “circuit” under DVFS operation. The workload for different modem tasks, such as PDCCH monitoring, and/or PDSCH reception, can be very different. As a result, the ideal operating point for DVFS can be different corresponding to different modem tasks. However, the modem implementation may not support instantaneous adaptation of DVFS operating point that is perfectly aligned to the modem task at hand. The modem may have to operate at a “worst case” DVFS operating point (i.e. that consumes more power than ideal) in anticipation of the possible modem tasks that may come within the adaptation time scale.</w:t>
      </w:r>
    </w:p>
    <w:p w14:paraId="652A05E9" w14:textId="4657F80C" w:rsidR="00B14994" w:rsidRDefault="00B14994" w:rsidP="00B14994">
      <w:r>
        <w:rPr>
          <w:lang w:val="en-GB"/>
        </w:rPr>
        <w:t xml:space="preserve">As </w:t>
      </w:r>
      <w:r w:rsidR="00062A40">
        <w:rPr>
          <w:lang w:val="en-GB"/>
        </w:rPr>
        <w:t xml:space="preserve">an </w:t>
      </w:r>
      <w:r>
        <w:rPr>
          <w:lang w:val="en-GB"/>
        </w:rPr>
        <w:t>example, with same-slot scheduling (k0=0), UE may be getting a grant during PDCCH monitoring at the beginning of a slot, and would need to be prepared to start processing PDSCH in the same slot. The DVFS operating point may need to be set to the worst case of decoding a grant and processing PDSCH, which would be higher than simply monitoring PDCCH alone.</w:t>
      </w:r>
    </w:p>
    <w:p w14:paraId="1831B64E" w14:textId="77777777" w:rsidR="00B14994" w:rsidRDefault="00B14994" w:rsidP="00B14994">
      <w:r>
        <w:object w:dxaOrig="10541" w:dyaOrig="4440" w14:anchorId="2BDE87EF">
          <v:shape id="_x0000_i1026" type="#_x0000_t75" style="width:6in;height:181.8pt" o:ole="">
            <v:imagedata r:id="rId12" o:title=""/>
          </v:shape>
          <o:OLEObject Type="Embed" ProgID="Visio.Drawing.11" ShapeID="_x0000_i1026" DrawAspect="Content" ObjectID="_1568488748" r:id="rId13"/>
        </w:object>
      </w:r>
    </w:p>
    <w:p w14:paraId="462B8F13" w14:textId="44E8D4A7" w:rsidR="00B14994" w:rsidRPr="001A48B8" w:rsidRDefault="00B14994" w:rsidP="00B14994">
      <w:pPr>
        <w:pStyle w:val="Caption"/>
      </w:pPr>
      <w:bookmarkStart w:id="12" w:name="_Ref494324379"/>
      <w:r>
        <w:t xml:space="preserve">Figure </w:t>
      </w:r>
      <w:r w:rsidR="00744E5D">
        <w:fldChar w:fldCharType="begin"/>
      </w:r>
      <w:r w:rsidR="00744E5D">
        <w:instrText xml:space="preserve"> SEQ Figure \* ARABIC </w:instrText>
      </w:r>
      <w:r w:rsidR="00744E5D">
        <w:fldChar w:fldCharType="separate"/>
      </w:r>
      <w:r w:rsidR="00686644">
        <w:rPr>
          <w:noProof/>
        </w:rPr>
        <w:t>1</w:t>
      </w:r>
      <w:r w:rsidR="00744E5D">
        <w:rPr>
          <w:noProof/>
        </w:rPr>
        <w:fldChar w:fldCharType="end"/>
      </w:r>
      <w:bookmarkEnd w:id="12"/>
      <w:r>
        <w:t>. Scheduling latency vs. power consumption tradeoff (1): Cross-slot scheduling facilitating better microsleep and DVFS</w:t>
      </w:r>
    </w:p>
    <w:p w14:paraId="101CA359" w14:textId="77777777" w:rsidR="00B14994" w:rsidRDefault="00B14994" w:rsidP="00B14994"/>
    <w:p w14:paraId="35B33FD6" w14:textId="6194198E" w:rsidR="00B14994" w:rsidRDefault="00B14994" w:rsidP="00B14994">
      <w:pPr>
        <w:rPr>
          <w:lang w:val="en-GB"/>
        </w:rPr>
      </w:pPr>
      <w:r>
        <w:rPr>
          <w:lang w:val="en-GB"/>
        </w:rPr>
        <w:t>With cross-</w:t>
      </w:r>
      <w:r w:rsidR="005F7AC8" w:rsidDel="005F7AC8">
        <w:rPr>
          <w:lang w:val="en-GB"/>
        </w:rPr>
        <w:t xml:space="preserve"> </w:t>
      </w:r>
      <w:r>
        <w:rPr>
          <w:lang w:val="en-GB"/>
        </w:rPr>
        <w:t>slot scheduling</w:t>
      </w:r>
      <w:r w:rsidR="00D36885">
        <w:rPr>
          <w:lang w:val="en-GB"/>
        </w:rPr>
        <w:t xml:space="preserve"> with k0</w:t>
      </w:r>
      <w:r w:rsidR="006B611A">
        <w:rPr>
          <w:lang w:val="en-GB"/>
        </w:rPr>
        <w:t xml:space="preserve"> larger than 1</w:t>
      </w:r>
      <w:r>
        <w:rPr>
          <w:lang w:val="en-GB"/>
        </w:rPr>
        <w:t xml:space="preserve">, additional power saving could be larger due to the extent of DVFS that becomes feasible. Moreover, if the modem tasks during certain time duration can be limited, modem architecture </w:t>
      </w:r>
      <w:r>
        <w:rPr>
          <w:lang w:val="en-GB"/>
        </w:rPr>
        <w:lastRenderedPageBreak/>
        <w:t xml:space="preserve">can be designed in such a way that the limited functionality could operate on a highly optimized block. For example, if k0 is sufficiently large, </w:t>
      </w:r>
      <w:r w:rsidR="006B611A">
        <w:rPr>
          <w:lang w:val="en-GB"/>
        </w:rPr>
        <w:t>a</w:t>
      </w:r>
      <w:r>
        <w:rPr>
          <w:lang w:val="en-GB"/>
        </w:rPr>
        <w:t xml:space="preserve"> highly power-optimized PDCCH processing block can be </w:t>
      </w:r>
      <w:r w:rsidR="006B611A">
        <w:rPr>
          <w:lang w:val="en-GB"/>
        </w:rPr>
        <w:t>used to</w:t>
      </w:r>
      <w:r>
        <w:rPr>
          <w:lang w:val="en-GB"/>
        </w:rPr>
        <w:t xml:space="preserve"> further reduce PDCCH monitoring power consumption</w:t>
      </w:r>
      <w:r w:rsidR="006B611A">
        <w:rPr>
          <w:lang w:val="en-GB"/>
        </w:rPr>
        <w:t>, while the rest of the modem can remain in idle/</w:t>
      </w:r>
      <w:r w:rsidR="00205A84">
        <w:rPr>
          <w:lang w:val="en-GB"/>
        </w:rPr>
        <w:t>very low power</w:t>
      </w:r>
      <w:r w:rsidR="006B611A">
        <w:rPr>
          <w:lang w:val="en-GB"/>
        </w:rPr>
        <w:t xml:space="preserve"> mode</w:t>
      </w:r>
      <w:r>
        <w:rPr>
          <w:lang w:val="en-GB"/>
        </w:rPr>
        <w:t>. When a DL grant is decoded, the modem still has enough time to “warm-up” and get ready for PDSCH reception and HARQ-ACK feedback.</w:t>
      </w:r>
    </w:p>
    <w:p w14:paraId="38A4B88E" w14:textId="1454D04C" w:rsidR="00B14994" w:rsidRDefault="00B14994" w:rsidP="00B14994">
      <w:pPr>
        <w:rPr>
          <w:lang w:val="en-GB"/>
        </w:rPr>
      </w:pPr>
      <w:r>
        <w:rPr>
          <w:lang w:val="en-GB"/>
        </w:rPr>
        <w:t>If k0 can be dynamically selected via DCI, it is important that the set of selectable values, which are semi-statically configured, should not be smaller than a threshold required for modem “warm-up”. UE implementation can take advantage of the fact that even the smallest k0 which is dynamically selected would be large enough for modem “warm-up” for full functionality, so that PDCCH monitoring can operate with limited functionality and at the lowest power level possible.</w:t>
      </w:r>
    </w:p>
    <w:p w14:paraId="14C7B540" w14:textId="09A5445E" w:rsidR="009B63EA" w:rsidRDefault="009B63EA" w:rsidP="009B63EA">
      <w:pPr>
        <w:pStyle w:val="Caption"/>
        <w:rPr>
          <w:lang w:val="en-GB"/>
        </w:rPr>
      </w:pPr>
      <w:bookmarkStart w:id="13" w:name="_Toc494572744"/>
      <w:bookmarkStart w:id="14" w:name="_Toc494577097"/>
      <w:bookmarkStart w:id="15" w:name="_Toc494577148"/>
      <w:bookmarkStart w:id="16" w:name="_Toc494577216"/>
      <w:bookmarkStart w:id="17" w:name="_Toc494705621"/>
      <w:bookmarkStart w:id="18" w:name="_Toc494706196"/>
      <w:bookmarkStart w:id="19" w:name="_Toc494706598"/>
      <w:bookmarkStart w:id="20" w:name="_Toc494718920"/>
      <w:bookmarkStart w:id="21" w:name="_Toc494718942"/>
      <w:bookmarkStart w:id="22" w:name="_Toc494741485"/>
      <w:r>
        <w:t xml:space="preserve">Observation </w:t>
      </w:r>
      <w:r w:rsidR="00744E5D">
        <w:fldChar w:fldCharType="begin"/>
      </w:r>
      <w:r w:rsidR="00744E5D">
        <w:instrText xml:space="preserve"> SEQ Observation \* ARABIC </w:instrText>
      </w:r>
      <w:r w:rsidR="00744E5D">
        <w:fldChar w:fldCharType="separate"/>
      </w:r>
      <w:r w:rsidR="00686644">
        <w:rPr>
          <w:noProof/>
        </w:rPr>
        <w:t>2</w:t>
      </w:r>
      <w:r w:rsidR="00744E5D">
        <w:rPr>
          <w:noProof/>
        </w:rPr>
        <w:fldChar w:fldCharType="end"/>
      </w:r>
      <w:r>
        <w:t xml:space="preserve">: </w:t>
      </w:r>
      <w:r>
        <w:rPr>
          <w:lang w:val="en-GB"/>
        </w:rPr>
        <w:t>Sufficiently large k0 value allows UE modem to monitor for PDCCH with highly optimized mode or hardware, and potentially operate at fraction of the power level compared to the k0=0 case.</w:t>
      </w:r>
      <w:bookmarkEnd w:id="13"/>
      <w:bookmarkEnd w:id="14"/>
      <w:bookmarkEnd w:id="15"/>
      <w:bookmarkEnd w:id="16"/>
      <w:bookmarkEnd w:id="17"/>
      <w:bookmarkEnd w:id="18"/>
      <w:bookmarkEnd w:id="19"/>
      <w:bookmarkEnd w:id="20"/>
      <w:bookmarkEnd w:id="21"/>
      <w:bookmarkEnd w:id="22"/>
    </w:p>
    <w:p w14:paraId="61150774" w14:textId="483AA0CC" w:rsidR="008C0027" w:rsidRDefault="00B14994">
      <w:pPr>
        <w:rPr>
          <w:lang w:val="en-GB"/>
        </w:rPr>
      </w:pPr>
      <w:r>
        <w:rPr>
          <w:lang w:val="en-GB"/>
        </w:rPr>
        <w:t>While it has already been agreed that k0 can be at least semi-statically configured for a UE, it makes sense to discuss whether and how this agreement can be extended for BWP.</w:t>
      </w:r>
    </w:p>
    <w:p w14:paraId="154B6CC4" w14:textId="64AA0096" w:rsidR="009B63EA" w:rsidRDefault="009B63EA" w:rsidP="009B63EA">
      <w:pPr>
        <w:pStyle w:val="Caption"/>
        <w:rPr>
          <w:lang w:val="en-GB"/>
        </w:rPr>
      </w:pPr>
      <w:bookmarkStart w:id="23" w:name="_Toc494572795"/>
      <w:bookmarkStart w:id="24" w:name="_Toc494577155"/>
      <w:bookmarkStart w:id="25" w:name="_Toc494705622"/>
      <w:bookmarkStart w:id="26" w:name="_Toc494706219"/>
      <w:bookmarkStart w:id="27" w:name="_Toc494706599"/>
      <w:bookmarkStart w:id="28" w:name="_Toc494718921"/>
      <w:bookmarkStart w:id="29" w:name="_Toc494718945"/>
      <w:bookmarkStart w:id="30" w:name="_Toc494737091"/>
      <w:bookmarkStart w:id="31" w:name="_Toc494741486"/>
      <w:bookmarkStart w:id="32" w:name="_Toc494742680"/>
      <w:bookmarkStart w:id="33" w:name="_Toc494742963"/>
      <w:bookmarkStart w:id="34" w:name="_Toc494743442"/>
      <w:bookmarkStart w:id="35" w:name="_Toc494743589"/>
      <w:bookmarkStart w:id="36" w:name="_Toc494743626"/>
      <w:bookmarkStart w:id="37" w:name="_Toc494744786"/>
      <w:r>
        <w:t xml:space="preserve">Proposal </w:t>
      </w:r>
      <w:r w:rsidR="00744E5D">
        <w:fldChar w:fldCharType="begin"/>
      </w:r>
      <w:r w:rsidR="00744E5D">
        <w:instrText xml:space="preserve"> SEQ Proposal \* ARABIC </w:instrText>
      </w:r>
      <w:r w:rsidR="00744E5D">
        <w:fldChar w:fldCharType="separate"/>
      </w:r>
      <w:r w:rsidR="003846C9">
        <w:rPr>
          <w:noProof/>
        </w:rPr>
        <w:t>1</w:t>
      </w:r>
      <w:r w:rsidR="00744E5D">
        <w:rPr>
          <w:noProof/>
        </w:rPr>
        <w:fldChar w:fldCharType="end"/>
      </w:r>
      <w:r>
        <w:t xml:space="preserve">: </w:t>
      </w:r>
      <w:r>
        <w:rPr>
          <w:lang w:val="en-GB"/>
        </w:rPr>
        <w:t>Semi-static configuration of k0 should be BWP-specific, and it can be configured as part of BWP configuration.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1589763" w14:textId="1DA8BD44" w:rsidR="00B14994" w:rsidRDefault="00B14994" w:rsidP="00B14994">
      <w:pPr>
        <w:rPr>
          <w:lang w:val="en-GB"/>
        </w:rPr>
      </w:pPr>
      <w:r>
        <w:rPr>
          <w:lang w:val="en-GB"/>
        </w:rPr>
        <w:t xml:space="preserve">The motivation and benefits are clear: Given that k0&gt;=1 is good for power saving, it makes sense to configure that </w:t>
      </w:r>
      <w:r w:rsidR="001C60F0">
        <w:rPr>
          <w:lang w:val="en-GB"/>
        </w:rPr>
        <w:t xml:space="preserve">for </w:t>
      </w:r>
      <w:r>
        <w:rPr>
          <w:lang w:val="en-GB"/>
        </w:rPr>
        <w:t xml:space="preserve"> the BWP which is intended for low power operation. For example, in the case with a narrower BWP for DL control monitoring and a wider BWP for scheduled data reception, cross-slot scheduling (i.e. k0&gt;=1) could be configured for the narrower BWP, and same-slot scheduling (i.e. k0=0) could be configured for the wider BWP.</w:t>
      </w:r>
    </w:p>
    <w:p w14:paraId="4EB4834F" w14:textId="250B47AC" w:rsidR="00B14994" w:rsidRDefault="00D1127F" w:rsidP="00B14994">
      <w:pPr>
        <w:rPr>
          <w:lang w:val="en-GB"/>
        </w:rPr>
      </w:pPr>
      <w:r>
        <w:rPr>
          <w:noProof/>
        </w:rPr>
        <w:object w:dxaOrig="11006" w:dyaOrig="3615" w14:anchorId="7684F057">
          <v:shape id="_x0000_i1027" type="#_x0000_t75" style="width:451.15pt;height:148.55pt" o:ole="">
            <v:imagedata r:id="rId14" o:title=""/>
          </v:shape>
          <o:OLEObject Type="Embed" ProgID="Visio.Drawing.11" ShapeID="_x0000_i1027" DrawAspect="Content" ObjectID="_1568488749" r:id="rId15"/>
        </w:object>
      </w:r>
    </w:p>
    <w:p w14:paraId="7E1E5F70" w14:textId="39F56E67" w:rsidR="00B14994" w:rsidRPr="006D342B" w:rsidRDefault="00B14994" w:rsidP="00B14994">
      <w:pPr>
        <w:pStyle w:val="Caption"/>
        <w:rPr>
          <w:lang w:val="en-GB"/>
        </w:rPr>
      </w:pPr>
      <w:bookmarkStart w:id="38" w:name="_Ref494576780"/>
      <w:r>
        <w:t xml:space="preserve">Figure </w:t>
      </w:r>
      <w:r w:rsidR="00744E5D">
        <w:fldChar w:fldCharType="begin"/>
      </w:r>
      <w:r w:rsidR="00744E5D">
        <w:instrText xml:space="preserve"> SEQ Figure \* ARABIC </w:instrText>
      </w:r>
      <w:r w:rsidR="00744E5D">
        <w:fldChar w:fldCharType="separate"/>
      </w:r>
      <w:r w:rsidR="00686644">
        <w:rPr>
          <w:noProof/>
        </w:rPr>
        <w:t>2</w:t>
      </w:r>
      <w:r w:rsidR="00744E5D">
        <w:rPr>
          <w:noProof/>
        </w:rPr>
        <w:fldChar w:fldCharType="end"/>
      </w:r>
      <w:bookmarkEnd w:id="38"/>
      <w:r>
        <w:t>. An example of BWP configuration with PDCCH monitoring periodicity and k0</w:t>
      </w:r>
    </w:p>
    <w:p w14:paraId="6E40418C" w14:textId="77777777" w:rsidR="00B14994" w:rsidRDefault="00B14994" w:rsidP="00B14994"/>
    <w:p w14:paraId="321F8D6C" w14:textId="2D6935AC" w:rsidR="00B14994" w:rsidRDefault="00FF303D" w:rsidP="00B14994">
      <w:r>
        <w:rPr>
          <w:noProof/>
        </w:rPr>
        <w:object w:dxaOrig="10166" w:dyaOrig="2183" w14:anchorId="7102A22B">
          <v:shape id="_x0000_i1028" type="#_x0000_t75" style="width:419.7pt;height:90.7pt" o:ole="">
            <v:imagedata r:id="rId16" o:title=""/>
          </v:shape>
          <o:OLEObject Type="Embed" ProgID="Visio.Drawing.11" ShapeID="_x0000_i1028" DrawAspect="Content" ObjectID="_1568488750" r:id="rId17"/>
        </w:object>
      </w:r>
    </w:p>
    <w:p w14:paraId="7F8141EC" w14:textId="229C977A" w:rsidR="00B14994" w:rsidRDefault="00B14994" w:rsidP="00B14994">
      <w:pPr>
        <w:pStyle w:val="Caption"/>
      </w:pPr>
      <w:bookmarkStart w:id="39" w:name="_Ref494576775"/>
      <w:r>
        <w:t xml:space="preserve">Figure </w:t>
      </w:r>
      <w:r w:rsidR="00744E5D">
        <w:fldChar w:fldCharType="begin"/>
      </w:r>
      <w:r w:rsidR="00744E5D">
        <w:instrText xml:space="preserve"> SEQ Figure \* ARABIC </w:instrText>
      </w:r>
      <w:r w:rsidR="00744E5D">
        <w:fldChar w:fldCharType="separate"/>
      </w:r>
      <w:r w:rsidR="00686644">
        <w:rPr>
          <w:noProof/>
        </w:rPr>
        <w:t>3</w:t>
      </w:r>
      <w:r w:rsidR="00744E5D">
        <w:rPr>
          <w:noProof/>
        </w:rPr>
        <w:fldChar w:fldCharType="end"/>
      </w:r>
      <w:bookmarkEnd w:id="39"/>
      <w:r>
        <w:t>. An example of UE monitoring PDCCH in BWP1 and switching to BWP2 due to a scheduling DCI</w:t>
      </w:r>
    </w:p>
    <w:p w14:paraId="13DAB1BD" w14:textId="237D0298" w:rsidR="00D2502C" w:rsidRDefault="00D2502C" w:rsidP="00D2502C">
      <w:pPr>
        <w:rPr>
          <w:lang w:val="en-GB"/>
        </w:rPr>
      </w:pPr>
      <w:r>
        <w:rPr>
          <w:lang w:val="en-GB"/>
        </w:rPr>
        <w:fldChar w:fldCharType="begin"/>
      </w:r>
      <w:r>
        <w:rPr>
          <w:lang w:val="en-GB"/>
        </w:rPr>
        <w:instrText xml:space="preserve"> REF _Ref494576780 \h </w:instrText>
      </w:r>
      <w:r>
        <w:rPr>
          <w:lang w:val="en-GB"/>
        </w:rPr>
      </w:r>
      <w:r>
        <w:rPr>
          <w:lang w:val="en-GB"/>
        </w:rPr>
        <w:fldChar w:fldCharType="separate"/>
      </w:r>
      <w:r w:rsidR="00686644">
        <w:t xml:space="preserve">Figure </w:t>
      </w:r>
      <w:r w:rsidR="00686644">
        <w:rPr>
          <w:noProof/>
        </w:rPr>
        <w:t>2</w:t>
      </w:r>
      <w:r>
        <w:rPr>
          <w:lang w:val="en-GB"/>
        </w:rPr>
        <w:fldChar w:fldCharType="end"/>
      </w:r>
      <w:r>
        <w:rPr>
          <w:lang w:val="en-GB"/>
        </w:rPr>
        <w:t xml:space="preserve"> illustrates k0 and PDCCH periodicity are both set to the same value of 4</w:t>
      </w:r>
      <w:r w:rsidR="00D33CED">
        <w:rPr>
          <w:lang w:val="en-GB"/>
        </w:rPr>
        <w:t xml:space="preserve"> for BWP1</w:t>
      </w:r>
      <w:r>
        <w:rPr>
          <w:lang w:val="en-GB"/>
        </w:rPr>
        <w:t xml:space="preserve">. In general, there are two other cases to consider: (i) k0 &gt; PDCCH periodicity, (ii) k0 &lt; PDCCH periodicity. For (i), scheduling overlap may result, but it is still a valid mode of operation. For (ii), there could be extra “wake-ups” of the UE to receive PDSCH during sleep mode in between PDCCH occasions. </w:t>
      </w:r>
    </w:p>
    <w:p w14:paraId="2479422D" w14:textId="0DD94D46" w:rsidR="00EF35DD" w:rsidRDefault="00EF35DD" w:rsidP="00D2502C">
      <w:pPr>
        <w:rPr>
          <w:lang w:val="en-GB"/>
        </w:rPr>
      </w:pPr>
      <w:r>
        <w:rPr>
          <w:lang w:val="en-GB"/>
        </w:rPr>
        <w:t xml:space="preserve">It should be understood that </w:t>
      </w:r>
      <w:r w:rsidR="00CA41A3">
        <w:rPr>
          <w:lang w:val="en-GB"/>
        </w:rPr>
        <w:t xml:space="preserve">the configuration of </w:t>
      </w:r>
      <w:r>
        <w:rPr>
          <w:lang w:val="en-GB"/>
        </w:rPr>
        <w:t>PDCCH monitoring periodicity is also associated with an absolute definition in time</w:t>
      </w:r>
      <w:r w:rsidR="00CA41A3">
        <w:rPr>
          <w:lang w:val="en-GB"/>
        </w:rPr>
        <w:t xml:space="preserve"> </w:t>
      </w:r>
      <w:r w:rsidR="004A6794">
        <w:rPr>
          <w:lang w:val="en-GB"/>
        </w:rPr>
        <w:t xml:space="preserve">for </w:t>
      </w:r>
      <w:r w:rsidR="00CA41A3">
        <w:rPr>
          <w:lang w:val="en-GB"/>
        </w:rPr>
        <w:t>the PDCCH occasions</w:t>
      </w:r>
      <w:r>
        <w:rPr>
          <w:lang w:val="en-GB"/>
        </w:rPr>
        <w:t xml:space="preserve"> with respect to some common reference timing, so that gNB and UE would not be misaligned in terms of the PDCCH occasions. This is crucial for robustness considerations.</w:t>
      </w:r>
    </w:p>
    <w:p w14:paraId="76A886CE" w14:textId="77777777" w:rsidR="00B14994" w:rsidRPr="00B14994" w:rsidRDefault="00B14994" w:rsidP="00B14994">
      <w:pPr>
        <w:rPr>
          <w:lang w:val="en-GB"/>
        </w:rPr>
      </w:pPr>
    </w:p>
    <w:p w14:paraId="5D6BCA55" w14:textId="6B10F2FD" w:rsidR="00D021B4" w:rsidRDefault="00B14994" w:rsidP="002B15CF">
      <w:pPr>
        <w:pStyle w:val="Heading2"/>
      </w:pPr>
      <w:r>
        <w:lastRenderedPageBreak/>
        <w:t xml:space="preserve">Remaining </w:t>
      </w:r>
      <w:r w:rsidR="00D021B4">
        <w:t>Issues on BWP</w:t>
      </w:r>
    </w:p>
    <w:p w14:paraId="706CD11B" w14:textId="0E9BA3B3" w:rsidR="00693872" w:rsidRDefault="00693872">
      <w:pPr>
        <w:pStyle w:val="Heading3"/>
      </w:pPr>
      <w:r>
        <w:t>Relationship between CA and BWP</w:t>
      </w:r>
    </w:p>
    <w:p w14:paraId="03E3C1C7" w14:textId="27CBE47C" w:rsidR="00693872" w:rsidRPr="00010DBF" w:rsidRDefault="00693872" w:rsidP="00814E13">
      <w:r>
        <w:rPr>
          <w:lang w:val="en-GB"/>
        </w:rPr>
        <w:t>The relationship between CA and BWP pertains to issues such as the configuration of cel</w:t>
      </w:r>
      <w:r w:rsidR="00C15902">
        <w:rPr>
          <w:lang w:val="en-GB"/>
        </w:rPr>
        <w:t xml:space="preserve">l and how BWP can be </w:t>
      </w:r>
      <w:r w:rsidR="00010DBF">
        <w:rPr>
          <w:lang w:val="en-GB"/>
        </w:rPr>
        <w:t>configured and associated with the cell</w:t>
      </w:r>
      <w:r w:rsidR="00C15902">
        <w:rPr>
          <w:lang w:val="en-GB"/>
        </w:rPr>
        <w:t xml:space="preserve">. For SCell, the issue of SCell activation/deactivation and how it relates to BWP activation/deactivation has to be resolved. These issues are discussed in our companion contribution </w:t>
      </w:r>
      <w:r w:rsidR="008F368F">
        <w:rPr>
          <w:lang w:val="en-GB"/>
        </w:rPr>
        <w:fldChar w:fldCharType="begin"/>
      </w:r>
      <w:r w:rsidR="008F368F">
        <w:rPr>
          <w:lang w:val="en-GB"/>
        </w:rPr>
        <w:instrText xml:space="preserve"> REF _Ref494577838 \r \h </w:instrText>
      </w:r>
      <w:r w:rsidR="008F368F">
        <w:rPr>
          <w:lang w:val="en-GB"/>
        </w:rPr>
      </w:r>
      <w:r w:rsidR="008F368F">
        <w:rPr>
          <w:lang w:val="en-GB"/>
        </w:rPr>
        <w:fldChar w:fldCharType="separate"/>
      </w:r>
      <w:r w:rsidR="00686644">
        <w:rPr>
          <w:lang w:val="en-GB"/>
        </w:rPr>
        <w:t>[9]</w:t>
      </w:r>
      <w:r w:rsidR="008F368F">
        <w:rPr>
          <w:lang w:val="en-GB"/>
        </w:rPr>
        <w:fldChar w:fldCharType="end"/>
      </w:r>
      <w:r w:rsidR="00C15902">
        <w:rPr>
          <w:lang w:val="en-GB"/>
        </w:rPr>
        <w:t>.</w:t>
      </w:r>
    </w:p>
    <w:p w14:paraId="21BF11DC" w14:textId="77777777" w:rsidR="00693872" w:rsidRPr="00010DBF" w:rsidRDefault="00693872" w:rsidP="00814E13"/>
    <w:p w14:paraId="5797F176" w14:textId="357B6B03" w:rsidR="00D021B4" w:rsidRPr="002B15CF" w:rsidRDefault="00CB27D1" w:rsidP="002B15CF">
      <w:pPr>
        <w:pStyle w:val="Heading3"/>
      </w:pPr>
      <w:r>
        <w:t>BWP Activation/Deactivation without Scheduling</w:t>
      </w:r>
    </w:p>
    <w:p w14:paraId="26A8DAE0" w14:textId="647637EA" w:rsidR="00CB27D1" w:rsidRDefault="00CB27D1" w:rsidP="002B15CF">
      <w:pPr>
        <w:rPr>
          <w:lang w:val="en-GB"/>
        </w:rPr>
      </w:pPr>
      <w:r>
        <w:rPr>
          <w:lang w:val="en-GB"/>
        </w:rPr>
        <w:t xml:space="preserve">In RAN1 NR AH#3, the following agreement was made </w:t>
      </w:r>
      <w:r>
        <w:rPr>
          <w:lang w:val="en-GB"/>
        </w:rPr>
        <w:fldChar w:fldCharType="begin"/>
      </w:r>
      <w:r>
        <w:rPr>
          <w:lang w:val="en-GB"/>
        </w:rPr>
        <w:instrText xml:space="preserve"> REF _Ref494542387 \r \h </w:instrText>
      </w:r>
      <w:r>
        <w:rPr>
          <w:lang w:val="en-GB"/>
        </w:rPr>
      </w:r>
      <w:r>
        <w:rPr>
          <w:lang w:val="en-GB"/>
        </w:rPr>
        <w:fldChar w:fldCharType="separate"/>
      </w:r>
      <w:r w:rsidR="00686644">
        <w:rPr>
          <w:lang w:val="en-GB"/>
        </w:rPr>
        <w:t>[8]</w:t>
      </w:r>
      <w:r>
        <w:rPr>
          <w:lang w:val="en-GB"/>
        </w:rPr>
        <w:fldChar w:fldCharType="end"/>
      </w:r>
      <w:r>
        <w:rPr>
          <w:lang w:val="en-GB"/>
        </w:rPr>
        <w:t>:</w:t>
      </w:r>
    </w:p>
    <w:p w14:paraId="045B329D" w14:textId="77777777" w:rsidR="00CB27D1" w:rsidRDefault="00CB27D1" w:rsidP="00CB27D1">
      <w:pPr>
        <w:numPr>
          <w:ilvl w:val="0"/>
          <w:numId w:val="35"/>
        </w:numPr>
        <w:tabs>
          <w:tab w:val="left" w:pos="720"/>
        </w:tabs>
        <w:overflowPunct/>
        <w:autoSpaceDE/>
        <w:autoSpaceDN/>
        <w:adjustRightInd/>
        <w:spacing w:after="0"/>
        <w:textAlignment w:val="auto"/>
      </w:pPr>
      <w:r w:rsidRPr="00F44E32">
        <w:t>NR supports the case that a single scheduling DCI can switch the UE’s active BWP from one to another (of the same link direction) within a given serving cell</w:t>
      </w:r>
    </w:p>
    <w:p w14:paraId="39B169D5" w14:textId="77777777" w:rsidR="00CB27D1" w:rsidRDefault="00CB27D1" w:rsidP="00CB27D1">
      <w:pPr>
        <w:numPr>
          <w:ilvl w:val="1"/>
          <w:numId w:val="35"/>
        </w:numPr>
        <w:tabs>
          <w:tab w:val="left" w:pos="720"/>
        </w:tabs>
        <w:overflowPunct/>
        <w:autoSpaceDE/>
        <w:autoSpaceDN/>
        <w:adjustRightInd/>
        <w:spacing w:after="0"/>
        <w:textAlignment w:val="auto"/>
      </w:pPr>
      <w:r w:rsidRPr="00782A37">
        <w:rPr>
          <w:highlight w:val="yellow"/>
          <w:lang w:eastAsia="zh-TW"/>
        </w:rPr>
        <w:t>FFS whether &amp; how for active BWP switching only without scheduling</w:t>
      </w:r>
      <w:r w:rsidRPr="00F44E32">
        <w:rPr>
          <w:lang w:eastAsia="zh-TW"/>
        </w:rPr>
        <w:t xml:space="preserve"> (including the case of UL scheduling without UL-SCH)</w:t>
      </w:r>
    </w:p>
    <w:p w14:paraId="65308F1E" w14:textId="7910F8A7" w:rsidR="00CB27D1" w:rsidRDefault="00CB27D1" w:rsidP="002B15CF">
      <w:pPr>
        <w:rPr>
          <w:lang w:val="en-GB"/>
        </w:rPr>
      </w:pPr>
    </w:p>
    <w:p w14:paraId="1B2025B1" w14:textId="4F1349F9" w:rsidR="00D14D0C" w:rsidRDefault="008232FF" w:rsidP="002B15CF">
      <w:pPr>
        <w:rPr>
          <w:lang w:val="en-GB"/>
        </w:rPr>
      </w:pPr>
      <w:r>
        <w:rPr>
          <w:lang w:val="en-GB"/>
        </w:rPr>
        <w:t>The following discussion will motivate the need and use cases for dedicated BWP DCI for active BWP switching without scheduling.</w:t>
      </w:r>
    </w:p>
    <w:p w14:paraId="5804F23D" w14:textId="0B1FBC9B" w:rsidR="00437589" w:rsidRDefault="008232FF" w:rsidP="002B15CF">
      <w:pPr>
        <w:rPr>
          <w:lang w:val="en-GB"/>
        </w:rPr>
      </w:pPr>
      <w:r>
        <w:rPr>
          <w:lang w:val="en-GB"/>
        </w:rPr>
        <w:t>Support for a single scheduling DCI to trigger active BWP switching is motivated mainly by dynamic BWP adaptation for UE power saving during active state</w:t>
      </w:r>
      <w:r w:rsidR="008B2392">
        <w:rPr>
          <w:lang w:val="en-GB"/>
        </w:rPr>
        <w:t xml:space="preserve"> (which includes ON duration and when inactivity timer is running when C-DRX is configured)</w:t>
      </w:r>
      <w:r>
        <w:rPr>
          <w:lang w:val="en-GB"/>
        </w:rPr>
        <w:t xml:space="preserve">. </w:t>
      </w:r>
      <w:r w:rsidR="00AF6BD0">
        <w:rPr>
          <w:lang w:val="en-GB"/>
        </w:rPr>
        <w:t xml:space="preserve">Based on DoU profiling results, even with C-DRX enabled, UE typically consumes significant amount of power monitoring PDCCH without decoding any grant. </w:t>
      </w:r>
      <w:r w:rsidR="00A83F6F">
        <w:rPr>
          <w:lang w:val="en-GB"/>
        </w:rPr>
        <w:fldChar w:fldCharType="begin"/>
      </w:r>
      <w:r w:rsidR="00A83F6F">
        <w:rPr>
          <w:lang w:val="en-GB"/>
        </w:rPr>
        <w:instrText xml:space="preserve"> REF _Ref489663415 \r \h </w:instrText>
      </w:r>
      <w:r w:rsidR="00A83F6F">
        <w:rPr>
          <w:lang w:val="en-GB"/>
        </w:rPr>
      </w:r>
      <w:r w:rsidR="00A83F6F">
        <w:rPr>
          <w:lang w:val="en-GB"/>
        </w:rPr>
        <w:fldChar w:fldCharType="separate"/>
      </w:r>
      <w:r w:rsidR="00686644">
        <w:rPr>
          <w:lang w:val="en-GB"/>
        </w:rPr>
        <w:t>[1]</w:t>
      </w:r>
      <w:r w:rsidR="00A83F6F">
        <w:rPr>
          <w:lang w:val="en-GB"/>
        </w:rPr>
        <w:fldChar w:fldCharType="end"/>
      </w:r>
      <w:r w:rsidR="00A83F6F">
        <w:rPr>
          <w:lang w:val="en-GB"/>
        </w:rPr>
        <w:t xml:space="preserve">. </w:t>
      </w:r>
      <w:r w:rsidR="008669FF">
        <w:rPr>
          <w:lang w:val="en-GB"/>
        </w:rPr>
        <w:t xml:space="preserve">To </w:t>
      </w:r>
      <w:r w:rsidR="00912805">
        <w:rPr>
          <w:lang w:val="en-GB"/>
        </w:rPr>
        <w:t>reduce the power consumption during PDCCH monitoring</w:t>
      </w:r>
      <w:r w:rsidR="008669FF">
        <w:rPr>
          <w:lang w:val="en-GB"/>
        </w:rPr>
        <w:t>,</w:t>
      </w:r>
      <w:r>
        <w:rPr>
          <w:lang w:val="en-GB"/>
        </w:rPr>
        <w:t xml:space="preserve"> </w:t>
      </w:r>
      <w:r w:rsidR="008669FF">
        <w:rPr>
          <w:lang w:val="en-GB"/>
        </w:rPr>
        <w:t>t</w:t>
      </w:r>
      <w:r>
        <w:rPr>
          <w:lang w:val="en-GB"/>
        </w:rPr>
        <w:t xml:space="preserve">he main use case is to have two BWPs configured: a narrower BWP mainly for PDCCH monitoring, and a wider BWP mainly for scheduled data. In such use case, it is envisioned that the UE may switch back-and-forth between the narrower BWP and the wider BWP, depending on the </w:t>
      </w:r>
      <w:r w:rsidR="00DB6B13">
        <w:rPr>
          <w:lang w:val="en-GB"/>
        </w:rPr>
        <w:t xml:space="preserve">burstiness of the </w:t>
      </w:r>
      <w:r>
        <w:rPr>
          <w:lang w:val="en-GB"/>
        </w:rPr>
        <w:t>traffic. Most of the time, UE would be “revisiting” a BWP that it has dwelled on previously. For this case, we believe there is merit to allow BWP switching</w:t>
      </w:r>
      <w:r w:rsidR="00437589">
        <w:rPr>
          <w:lang w:val="en-GB"/>
        </w:rPr>
        <w:t xml:space="preserve"> indication</w:t>
      </w:r>
      <w:r>
        <w:rPr>
          <w:lang w:val="en-GB"/>
        </w:rPr>
        <w:t xml:space="preserve"> and scheduling grant to be combined for low latency and </w:t>
      </w:r>
      <w:r w:rsidR="00245FDB">
        <w:rPr>
          <w:lang w:val="en-GB"/>
        </w:rPr>
        <w:t xml:space="preserve">reduced </w:t>
      </w:r>
      <w:r w:rsidR="00DC367D">
        <w:rPr>
          <w:lang w:val="en-GB"/>
        </w:rPr>
        <w:t xml:space="preserve">signalling </w:t>
      </w:r>
      <w:r>
        <w:rPr>
          <w:lang w:val="en-GB"/>
        </w:rPr>
        <w:t>overhead</w:t>
      </w:r>
      <w:r w:rsidR="00437589">
        <w:rPr>
          <w:lang w:val="en-GB"/>
        </w:rPr>
        <w:t xml:space="preserve"> for BWP switching</w:t>
      </w:r>
      <w:r>
        <w:rPr>
          <w:lang w:val="en-GB"/>
        </w:rPr>
        <w:t>.</w:t>
      </w:r>
      <w:r w:rsidR="00437589">
        <w:rPr>
          <w:lang w:val="en-GB"/>
        </w:rPr>
        <w:t xml:space="preserve"> The performance loss </w:t>
      </w:r>
      <w:r w:rsidR="0034774C">
        <w:rPr>
          <w:lang w:val="en-GB"/>
        </w:rPr>
        <w:t>for</w:t>
      </w:r>
      <w:r w:rsidR="00437589">
        <w:rPr>
          <w:lang w:val="en-GB"/>
        </w:rPr>
        <w:t xml:space="preserve"> not having the latest CQI immediately following the switch may be </w:t>
      </w:r>
      <w:r w:rsidR="00154DE7">
        <w:rPr>
          <w:lang w:val="en-GB"/>
        </w:rPr>
        <w:t>manage</w:t>
      </w:r>
      <w:r w:rsidR="0062602F">
        <w:rPr>
          <w:lang w:val="en-GB"/>
        </w:rPr>
        <w:t>able most of the time</w:t>
      </w:r>
      <w:r w:rsidR="00437589">
        <w:rPr>
          <w:lang w:val="en-GB"/>
        </w:rPr>
        <w:t>.</w:t>
      </w:r>
    </w:p>
    <w:p w14:paraId="2B381EB9" w14:textId="493EFD00" w:rsidR="00FA48E0" w:rsidRDefault="00437589" w:rsidP="002B15CF">
      <w:pPr>
        <w:rPr>
          <w:lang w:val="en-GB"/>
        </w:rPr>
      </w:pPr>
      <w:r>
        <w:rPr>
          <w:lang w:val="en-GB"/>
        </w:rPr>
        <w:t>There are other use cases where a dedicated BWP DCI for switching</w:t>
      </w:r>
      <w:r w:rsidR="00131A50">
        <w:rPr>
          <w:lang w:val="en-GB"/>
        </w:rPr>
        <w:t>/activation/deactivation</w:t>
      </w:r>
      <w:r>
        <w:rPr>
          <w:lang w:val="en-GB"/>
        </w:rPr>
        <w:t xml:space="preserve"> would be beneficial. If UE does not have prior CQI information on a BWP (or it has been very stale), it would be more efficient for UE to switch</w:t>
      </w:r>
      <w:r w:rsidR="00D42BEF">
        <w:rPr>
          <w:lang w:val="en-GB"/>
        </w:rPr>
        <w:t xml:space="preserve"> to the new BWP</w:t>
      </w:r>
      <w:r>
        <w:rPr>
          <w:lang w:val="en-GB"/>
        </w:rPr>
        <w:t xml:space="preserve">, perform CSI measurement and feedback, and then gNB can schedule to the UE based on an up-to-date CQI. </w:t>
      </w:r>
      <w:r w:rsidR="00D42BEF">
        <w:rPr>
          <w:lang w:val="en-GB"/>
        </w:rPr>
        <w:t xml:space="preserve">This scheme avoids the complexity for supporting CSI measurement outside of configured BWP. </w:t>
      </w:r>
      <w:r>
        <w:rPr>
          <w:lang w:val="en-GB"/>
        </w:rPr>
        <w:t xml:space="preserve">While BWP switching triggered with a scheduling grant could be the main use case, </w:t>
      </w:r>
      <w:r w:rsidR="00E16704">
        <w:rPr>
          <w:lang w:val="en-GB"/>
        </w:rPr>
        <w:t>support for above use case is also very important to ensure robust operation of the system.</w:t>
      </w:r>
    </w:p>
    <w:p w14:paraId="42A5A796" w14:textId="780D50B0" w:rsidR="00E16704" w:rsidRDefault="00E16704" w:rsidP="002B15CF">
      <w:pPr>
        <w:rPr>
          <w:lang w:val="en-GB"/>
        </w:rPr>
      </w:pPr>
      <w:r>
        <w:rPr>
          <w:lang w:val="en-GB"/>
        </w:rPr>
        <w:t xml:space="preserve">Another use case is for BWP activation/deactivation for SCell. It has been agreed that for Rel 15, only single active BWP (for each link direction) is supported. Support for </w:t>
      </w:r>
      <w:r w:rsidR="00131A50">
        <w:rPr>
          <w:lang w:val="en-GB"/>
        </w:rPr>
        <w:t xml:space="preserve">separate </w:t>
      </w:r>
      <w:r>
        <w:rPr>
          <w:lang w:val="en-GB"/>
        </w:rPr>
        <w:t>BWP activation</w:t>
      </w:r>
      <w:r w:rsidR="00131A50">
        <w:rPr>
          <w:lang w:val="en-GB"/>
        </w:rPr>
        <w:t xml:space="preserve"> and </w:t>
      </w:r>
      <w:r>
        <w:rPr>
          <w:lang w:val="en-GB"/>
        </w:rPr>
        <w:t>deactivation</w:t>
      </w:r>
      <w:r w:rsidR="00131A50">
        <w:rPr>
          <w:lang w:val="en-GB"/>
        </w:rPr>
        <w:t xml:space="preserve"> signaling</w:t>
      </w:r>
      <w:r>
        <w:rPr>
          <w:lang w:val="en-GB"/>
        </w:rPr>
        <w:t xml:space="preserve">, at least for PCell, does not seem necessary because PCell has to always </w:t>
      </w:r>
      <w:r w:rsidR="00EE180E">
        <w:rPr>
          <w:lang w:val="en-GB"/>
        </w:rPr>
        <w:t>maintain</w:t>
      </w:r>
      <w:r>
        <w:rPr>
          <w:lang w:val="en-GB"/>
        </w:rPr>
        <w:t xml:space="preserve"> an active BWP for each link direction</w:t>
      </w:r>
      <w:r w:rsidR="00131A50">
        <w:rPr>
          <w:lang w:val="en-GB"/>
        </w:rPr>
        <w:t>; Therefore BWP switching is more applicable</w:t>
      </w:r>
      <w:r>
        <w:rPr>
          <w:lang w:val="en-GB"/>
        </w:rPr>
        <w:t xml:space="preserve">. However, for SCell, it is not </w:t>
      </w:r>
      <w:r w:rsidR="00C70400">
        <w:rPr>
          <w:lang w:val="en-GB"/>
        </w:rPr>
        <w:t xml:space="preserve">fully </w:t>
      </w:r>
      <w:r>
        <w:rPr>
          <w:lang w:val="en-GB"/>
        </w:rPr>
        <w:t xml:space="preserve">clear that </w:t>
      </w:r>
      <w:r w:rsidR="00131A50">
        <w:rPr>
          <w:lang w:val="en-GB"/>
        </w:rPr>
        <w:t xml:space="preserve">separate </w:t>
      </w:r>
      <w:r>
        <w:rPr>
          <w:lang w:val="en-GB"/>
        </w:rPr>
        <w:t>BWP activation</w:t>
      </w:r>
      <w:r w:rsidR="00131A50">
        <w:rPr>
          <w:lang w:val="en-GB"/>
        </w:rPr>
        <w:t xml:space="preserve"> and </w:t>
      </w:r>
      <w:r>
        <w:rPr>
          <w:lang w:val="en-GB"/>
        </w:rPr>
        <w:t xml:space="preserve">deactivation </w:t>
      </w:r>
      <w:r w:rsidR="00131A50">
        <w:rPr>
          <w:lang w:val="en-GB"/>
        </w:rPr>
        <w:t xml:space="preserve">signalling </w:t>
      </w:r>
      <w:r>
        <w:rPr>
          <w:lang w:val="en-GB"/>
        </w:rPr>
        <w:t>is not needed. It is still being discussed whether SCell activation and deactivation triggers the corresponding action for its configured BWP, or vice versa. This topic is discussed more in detail in a companion contribution</w:t>
      </w:r>
      <w:r w:rsidR="001661E2">
        <w:rPr>
          <w:lang w:val="en-GB"/>
        </w:rPr>
        <w:t xml:space="preserve"> </w:t>
      </w:r>
      <w:r w:rsidR="001661E2">
        <w:rPr>
          <w:lang w:val="en-GB"/>
        </w:rPr>
        <w:fldChar w:fldCharType="begin"/>
      </w:r>
      <w:r w:rsidR="001661E2">
        <w:rPr>
          <w:lang w:val="en-GB"/>
        </w:rPr>
        <w:instrText xml:space="preserve"> REF _Ref494577838 \r \h </w:instrText>
      </w:r>
      <w:r w:rsidR="001661E2">
        <w:rPr>
          <w:lang w:val="en-GB"/>
        </w:rPr>
      </w:r>
      <w:r w:rsidR="001661E2">
        <w:rPr>
          <w:lang w:val="en-GB"/>
        </w:rPr>
        <w:fldChar w:fldCharType="separate"/>
      </w:r>
      <w:r w:rsidR="00686644">
        <w:rPr>
          <w:lang w:val="en-GB"/>
        </w:rPr>
        <w:t>[9]</w:t>
      </w:r>
      <w:r w:rsidR="001661E2">
        <w:rPr>
          <w:lang w:val="en-GB"/>
        </w:rPr>
        <w:fldChar w:fldCharType="end"/>
      </w:r>
      <w:r>
        <w:rPr>
          <w:lang w:val="en-GB"/>
        </w:rPr>
        <w:t>.</w:t>
      </w:r>
    </w:p>
    <w:p w14:paraId="7408A0BE" w14:textId="12B61017" w:rsidR="00EE180E" w:rsidRDefault="00FA48E0" w:rsidP="002B15CF">
      <w:pPr>
        <w:rPr>
          <w:lang w:val="en-GB"/>
        </w:rPr>
      </w:pPr>
      <w:r>
        <w:rPr>
          <w:lang w:val="en-GB"/>
        </w:rPr>
        <w:t xml:space="preserve">According to our understanding, the main concern for supporting a dedicated BWP </w:t>
      </w:r>
      <w:r w:rsidR="00131A50">
        <w:rPr>
          <w:lang w:val="en-GB"/>
        </w:rPr>
        <w:t xml:space="preserve">activation/deactivation </w:t>
      </w:r>
      <w:r>
        <w:rPr>
          <w:lang w:val="en-GB"/>
        </w:rPr>
        <w:t>DCI is the impact to DCI format. To alleviate the concern, reuse of a scheduling DCI with dummy grant could be considered.</w:t>
      </w:r>
      <w:r w:rsidR="002B60FF">
        <w:rPr>
          <w:lang w:val="en-GB"/>
        </w:rPr>
        <w:t xml:space="preserve"> A dummy grant may be constructed by invalidating one or some of the fields, such as the resource allocation field.</w:t>
      </w:r>
      <w:r>
        <w:rPr>
          <w:lang w:val="en-GB"/>
        </w:rPr>
        <w:t xml:space="preserve"> </w:t>
      </w:r>
      <w:r w:rsidR="00237143">
        <w:rPr>
          <w:lang w:val="en-GB"/>
        </w:rPr>
        <w:t>Additionally, i</w:t>
      </w:r>
      <w:r>
        <w:rPr>
          <w:lang w:val="en-GB"/>
        </w:rPr>
        <w:t>t may also be feasible to leverage a fallback scheduling DCI format (which contains a smaller payload) to improve the robustness for BWP DCI signalling, without incurring extra work on introducing a new DCI format.</w:t>
      </w:r>
    </w:p>
    <w:p w14:paraId="7D3DADE9" w14:textId="2C44B3D6" w:rsidR="009B63EA" w:rsidRDefault="009B63EA" w:rsidP="009B63EA">
      <w:pPr>
        <w:pStyle w:val="Caption"/>
        <w:rPr>
          <w:lang w:val="en-GB"/>
        </w:rPr>
      </w:pPr>
      <w:bookmarkStart w:id="40" w:name="_Toc494572796"/>
      <w:bookmarkStart w:id="41" w:name="_Toc494577156"/>
      <w:bookmarkStart w:id="42" w:name="_Toc494705623"/>
      <w:bookmarkStart w:id="43" w:name="_Toc494706220"/>
      <w:bookmarkStart w:id="44" w:name="_Toc494706600"/>
      <w:bookmarkStart w:id="45" w:name="_Toc494718922"/>
      <w:bookmarkStart w:id="46" w:name="_Toc494718946"/>
      <w:bookmarkStart w:id="47" w:name="_Toc494737092"/>
      <w:bookmarkStart w:id="48" w:name="_Toc494741487"/>
      <w:bookmarkStart w:id="49" w:name="_Toc494742681"/>
      <w:bookmarkStart w:id="50" w:name="_Toc494742964"/>
      <w:bookmarkStart w:id="51" w:name="_Toc494743443"/>
      <w:bookmarkStart w:id="52" w:name="_Toc494743590"/>
      <w:bookmarkStart w:id="53" w:name="_Toc494743627"/>
      <w:bookmarkStart w:id="54" w:name="_Toc494744787"/>
      <w:r>
        <w:t xml:space="preserve">Proposal </w:t>
      </w:r>
      <w:r w:rsidR="00744E5D">
        <w:fldChar w:fldCharType="begin"/>
      </w:r>
      <w:r w:rsidR="00744E5D">
        <w:instrText xml:space="preserve"> SEQ Proposal \* ARABIC </w:instrText>
      </w:r>
      <w:r w:rsidR="00744E5D">
        <w:fldChar w:fldCharType="separate"/>
      </w:r>
      <w:r w:rsidR="003846C9">
        <w:rPr>
          <w:noProof/>
        </w:rPr>
        <w:t>2</w:t>
      </w:r>
      <w:r w:rsidR="00744E5D">
        <w:rPr>
          <w:noProof/>
        </w:rPr>
        <w:fldChar w:fldCharType="end"/>
      </w:r>
      <w:r>
        <w:t xml:space="preserve">: </w:t>
      </w:r>
      <w:r>
        <w:rPr>
          <w:lang w:val="en-GB"/>
        </w:rPr>
        <w:t xml:space="preserve">Support dedicated BWP </w:t>
      </w:r>
      <w:r w:rsidR="00DC73C7">
        <w:rPr>
          <w:lang w:val="en-GB"/>
        </w:rPr>
        <w:t>DCI for switching/</w:t>
      </w:r>
      <w:r w:rsidR="00131A50">
        <w:rPr>
          <w:lang w:val="en-GB"/>
        </w:rPr>
        <w:t xml:space="preserve">activation/deactivation </w:t>
      </w:r>
      <w:r>
        <w:rPr>
          <w:lang w:val="en-GB"/>
        </w:rPr>
        <w:t>without scheduling</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304BD69" w14:textId="63AD7860" w:rsidR="009B63EA" w:rsidRPr="009B63EA" w:rsidRDefault="009B63EA" w:rsidP="009B63EA">
      <w:pPr>
        <w:pStyle w:val="Caption"/>
        <w:rPr>
          <w:lang w:val="en-GB"/>
        </w:rPr>
      </w:pPr>
      <w:bookmarkStart w:id="55" w:name="_Toc494572797"/>
      <w:bookmarkStart w:id="56" w:name="_Toc494577157"/>
      <w:bookmarkStart w:id="57" w:name="_Toc494705624"/>
      <w:bookmarkStart w:id="58" w:name="_Toc494706221"/>
      <w:bookmarkStart w:id="59" w:name="_Toc494706601"/>
      <w:bookmarkStart w:id="60" w:name="_Toc494718923"/>
      <w:bookmarkStart w:id="61" w:name="_Toc494718947"/>
      <w:bookmarkStart w:id="62" w:name="_Toc494737093"/>
      <w:bookmarkStart w:id="63" w:name="_Toc494741488"/>
      <w:bookmarkStart w:id="64" w:name="_Toc494742682"/>
      <w:bookmarkStart w:id="65" w:name="_Toc494742965"/>
      <w:bookmarkStart w:id="66" w:name="_Toc494743444"/>
      <w:bookmarkStart w:id="67" w:name="_Toc494743591"/>
      <w:bookmarkStart w:id="68" w:name="_Toc494743628"/>
      <w:bookmarkStart w:id="69" w:name="_Toc494744788"/>
      <w:r>
        <w:t xml:space="preserve">Proposal </w:t>
      </w:r>
      <w:r w:rsidR="00744E5D">
        <w:fldChar w:fldCharType="begin"/>
      </w:r>
      <w:r w:rsidR="00744E5D">
        <w:instrText xml:space="preserve"> SEQ Proposal \* ARABIC </w:instrText>
      </w:r>
      <w:r w:rsidR="00744E5D">
        <w:fldChar w:fldCharType="separate"/>
      </w:r>
      <w:r w:rsidR="003846C9">
        <w:rPr>
          <w:noProof/>
        </w:rPr>
        <w:t>3</w:t>
      </w:r>
      <w:r w:rsidR="00744E5D">
        <w:rPr>
          <w:noProof/>
        </w:rPr>
        <w:fldChar w:fldCharType="end"/>
      </w:r>
      <w:r>
        <w:t xml:space="preserve">: </w:t>
      </w:r>
      <w:r>
        <w:rPr>
          <w:lang w:val="en-GB"/>
        </w:rPr>
        <w:t xml:space="preserve">Reuse existing DCI formats for </w:t>
      </w:r>
      <w:r w:rsidR="006430D5">
        <w:rPr>
          <w:lang w:val="en-GB"/>
        </w:rPr>
        <w:t xml:space="preserve">the </w:t>
      </w:r>
      <w:r>
        <w:rPr>
          <w:lang w:val="en-GB"/>
        </w:rPr>
        <w:t>dedicated BWP DCI. Consider reusing the format of scheduling DCI with dummy grant.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E82DAF3" w14:textId="77777777" w:rsidR="00D14D0C" w:rsidRDefault="00D14D0C" w:rsidP="002B15CF">
      <w:pPr>
        <w:rPr>
          <w:lang w:val="en-GB"/>
        </w:rPr>
      </w:pPr>
    </w:p>
    <w:p w14:paraId="4CAC2A6C" w14:textId="7864771A" w:rsidR="00B25AB2" w:rsidRDefault="00D14D0C" w:rsidP="00D14D0C">
      <w:pPr>
        <w:pStyle w:val="Heading3"/>
      </w:pPr>
      <w:r>
        <w:lastRenderedPageBreak/>
        <w:t>Timer for Switching to Default BWP</w:t>
      </w:r>
    </w:p>
    <w:p w14:paraId="413A272B" w14:textId="08A9BAD2" w:rsidR="00D14D0C" w:rsidRDefault="00D14D0C" w:rsidP="00D14D0C">
      <w:pPr>
        <w:rPr>
          <w:lang w:val="en-GB"/>
        </w:rPr>
      </w:pPr>
      <w:r>
        <w:rPr>
          <w:lang w:val="en-GB"/>
        </w:rPr>
        <w:t xml:space="preserve">In RAN1 #90, the following agreement was made </w:t>
      </w:r>
      <w:r>
        <w:rPr>
          <w:lang w:val="en-GB"/>
        </w:rPr>
        <w:fldChar w:fldCharType="begin"/>
      </w:r>
      <w:r>
        <w:rPr>
          <w:lang w:val="en-GB"/>
        </w:rPr>
        <w:instrText xml:space="preserve"> REF _Ref494300927 \r \h </w:instrText>
      </w:r>
      <w:r>
        <w:rPr>
          <w:lang w:val="en-GB"/>
        </w:rPr>
      </w:r>
      <w:r>
        <w:rPr>
          <w:lang w:val="en-GB"/>
        </w:rPr>
        <w:fldChar w:fldCharType="separate"/>
      </w:r>
      <w:r w:rsidR="00686644">
        <w:rPr>
          <w:lang w:val="en-GB"/>
        </w:rPr>
        <w:t>[6]</w:t>
      </w:r>
      <w:r>
        <w:rPr>
          <w:lang w:val="en-GB"/>
        </w:rPr>
        <w:fldChar w:fldCharType="end"/>
      </w:r>
      <w:r>
        <w:rPr>
          <w:lang w:val="en-GB"/>
        </w:rPr>
        <w:t>:</w:t>
      </w:r>
    </w:p>
    <w:p w14:paraId="79A86714" w14:textId="77777777" w:rsidR="00D14D0C" w:rsidRDefault="00D14D0C" w:rsidP="00D14D0C">
      <w:pPr>
        <w:numPr>
          <w:ilvl w:val="0"/>
          <w:numId w:val="35"/>
        </w:numPr>
        <w:tabs>
          <w:tab w:val="left" w:pos="1440"/>
        </w:tabs>
        <w:overflowPunct/>
        <w:autoSpaceDE/>
        <w:autoSpaceDN/>
        <w:adjustRightInd/>
        <w:spacing w:after="0"/>
        <w:textAlignment w:val="auto"/>
        <w:rPr>
          <w:rFonts w:eastAsia="MS Mincho"/>
          <w:iCs/>
          <w:lang w:eastAsia="ja-JP"/>
        </w:rPr>
      </w:pPr>
      <w:r>
        <w:rPr>
          <w:rFonts w:eastAsia="MS Mincho"/>
          <w:iCs/>
          <w:lang w:eastAsia="ja-JP"/>
        </w:rPr>
        <w:t>Support activation/deactivation of DL bandwidth part by means of timer for a UE to switch its active DL bandwidth part to a default DL bandwidth part</w:t>
      </w:r>
    </w:p>
    <w:p w14:paraId="4C876FCA" w14:textId="77777777" w:rsidR="00D14D0C" w:rsidRDefault="00D14D0C" w:rsidP="00D14D0C">
      <w:pPr>
        <w:numPr>
          <w:ilvl w:val="1"/>
          <w:numId w:val="35"/>
        </w:numPr>
        <w:tabs>
          <w:tab w:val="left" w:pos="1440"/>
        </w:tabs>
        <w:overflowPunct/>
        <w:autoSpaceDE/>
        <w:autoSpaceDN/>
        <w:adjustRightInd/>
        <w:spacing w:after="0"/>
        <w:textAlignment w:val="auto"/>
        <w:rPr>
          <w:rFonts w:eastAsia="MS Mincho"/>
          <w:iCs/>
          <w:lang w:eastAsia="ja-JP"/>
        </w:rPr>
      </w:pPr>
      <w:r>
        <w:rPr>
          <w:rFonts w:eastAsia="MS Mincho"/>
          <w:iCs/>
          <w:lang w:eastAsia="ja-JP"/>
        </w:rPr>
        <w:t xml:space="preserve">The default DL bandwidth part can be the initial active DL bandwidth part defined above </w:t>
      </w:r>
    </w:p>
    <w:p w14:paraId="02D8663D" w14:textId="77777777" w:rsidR="00D14D0C" w:rsidRDefault="00D14D0C" w:rsidP="00D14D0C">
      <w:pPr>
        <w:numPr>
          <w:ilvl w:val="1"/>
          <w:numId w:val="35"/>
        </w:numPr>
        <w:tabs>
          <w:tab w:val="left" w:pos="1440"/>
        </w:tabs>
        <w:overflowPunct/>
        <w:autoSpaceDE/>
        <w:autoSpaceDN/>
        <w:adjustRightInd/>
        <w:spacing w:after="0"/>
        <w:textAlignment w:val="auto"/>
        <w:rPr>
          <w:rFonts w:eastAsia="MS Mincho"/>
          <w:iCs/>
          <w:lang w:eastAsia="ja-JP"/>
        </w:rPr>
      </w:pPr>
      <w:r>
        <w:rPr>
          <w:rFonts w:eastAsia="MS Mincho"/>
          <w:iCs/>
          <w:lang w:eastAsia="ja-JP"/>
        </w:rPr>
        <w:t>FFS: The default DL bandwidth part can be reconfigured by the network</w:t>
      </w:r>
    </w:p>
    <w:p w14:paraId="42D6DB12" w14:textId="77777777" w:rsidR="00D14D0C" w:rsidRDefault="00D14D0C" w:rsidP="00D14D0C">
      <w:pPr>
        <w:numPr>
          <w:ilvl w:val="1"/>
          <w:numId w:val="35"/>
        </w:numPr>
        <w:tabs>
          <w:tab w:val="left" w:pos="1440"/>
        </w:tabs>
        <w:overflowPunct/>
        <w:autoSpaceDE/>
        <w:autoSpaceDN/>
        <w:adjustRightInd/>
        <w:spacing w:after="0"/>
        <w:textAlignment w:val="auto"/>
        <w:rPr>
          <w:rFonts w:eastAsia="MS Mincho"/>
          <w:iCs/>
          <w:lang w:eastAsia="ja-JP"/>
        </w:rPr>
      </w:pPr>
      <w:r>
        <w:rPr>
          <w:rFonts w:eastAsia="MS Mincho"/>
          <w:iCs/>
          <w:lang w:eastAsia="ja-JP"/>
        </w:rPr>
        <w:t xml:space="preserve">FFS: detailed mechanism of timer-based solution (e.g. </w:t>
      </w:r>
      <w:r w:rsidRPr="00782A37">
        <w:rPr>
          <w:rFonts w:eastAsia="MS Mincho"/>
          <w:iCs/>
          <w:highlight w:val="yellow"/>
          <w:lang w:eastAsia="ja-JP"/>
        </w:rPr>
        <w:t>introducing a new timer or reusing DRX timer</w:t>
      </w:r>
      <w:r>
        <w:rPr>
          <w:rFonts w:eastAsia="MS Mincho"/>
          <w:iCs/>
          <w:lang w:eastAsia="ja-JP"/>
        </w:rPr>
        <w:t>)</w:t>
      </w:r>
    </w:p>
    <w:p w14:paraId="479F2220" w14:textId="77777777" w:rsidR="00D14D0C" w:rsidRDefault="00D14D0C" w:rsidP="00D14D0C">
      <w:pPr>
        <w:numPr>
          <w:ilvl w:val="1"/>
          <w:numId w:val="35"/>
        </w:numPr>
        <w:tabs>
          <w:tab w:val="left" w:pos="1440"/>
        </w:tabs>
        <w:overflowPunct/>
        <w:autoSpaceDE/>
        <w:autoSpaceDN/>
        <w:adjustRightInd/>
        <w:spacing w:after="0"/>
        <w:textAlignment w:val="auto"/>
        <w:rPr>
          <w:rFonts w:eastAsia="MS Mincho"/>
          <w:iCs/>
          <w:lang w:eastAsia="ja-JP"/>
        </w:rPr>
      </w:pPr>
      <w:r>
        <w:rPr>
          <w:rFonts w:eastAsia="MS Mincho"/>
          <w:iCs/>
          <w:lang w:eastAsia="ja-JP"/>
        </w:rPr>
        <w:t>FFS: other conditions to switch to default DL bandwidth part</w:t>
      </w:r>
    </w:p>
    <w:p w14:paraId="1C1C0403" w14:textId="5C277EE0" w:rsidR="00D14D0C" w:rsidRDefault="00D14D0C" w:rsidP="00D14D0C">
      <w:pPr>
        <w:rPr>
          <w:lang w:val="en-GB"/>
        </w:rPr>
      </w:pPr>
    </w:p>
    <w:p w14:paraId="723B491D" w14:textId="67D9D4A5" w:rsidR="00D14D0C" w:rsidRDefault="00A2079E" w:rsidP="00D14D0C">
      <w:pPr>
        <w:rPr>
          <w:lang w:val="en-GB"/>
        </w:rPr>
      </w:pPr>
      <w:r>
        <w:rPr>
          <w:lang w:val="en-GB"/>
        </w:rPr>
        <w:t>Based on offline discussion in the AH#3 meeting, there is a slight majority of companies supporting introduction of a new timer</w:t>
      </w:r>
      <w:r w:rsidR="001A1798">
        <w:rPr>
          <w:lang w:val="en-GB"/>
        </w:rPr>
        <w:t>, but consensus was not reached.</w:t>
      </w:r>
      <w:r w:rsidR="00097297">
        <w:rPr>
          <w:lang w:val="en-GB"/>
        </w:rPr>
        <w:t xml:space="preserve"> In the following, the merits for a new timer are discussed.</w:t>
      </w:r>
    </w:p>
    <w:p w14:paraId="6DD2C58A" w14:textId="1967018C" w:rsidR="00A2079E" w:rsidRDefault="00836916" w:rsidP="00D14D0C">
      <w:pPr>
        <w:rPr>
          <w:lang w:val="en-GB"/>
        </w:rPr>
      </w:pPr>
      <w:r>
        <w:rPr>
          <w:lang w:val="en-GB"/>
        </w:rPr>
        <w:t xml:space="preserve">First, we want to point out that reusing a DRX timer for </w:t>
      </w:r>
      <w:r w:rsidR="008F1584">
        <w:rPr>
          <w:lang w:val="en-GB"/>
        </w:rPr>
        <w:t xml:space="preserve">the BWP feature may introduce unnecessary </w:t>
      </w:r>
      <w:r w:rsidR="00EF63DB">
        <w:rPr>
          <w:lang w:val="en-GB"/>
        </w:rPr>
        <w:t>intertwining</w:t>
      </w:r>
      <w:r w:rsidR="008F1584">
        <w:rPr>
          <w:lang w:val="en-GB"/>
        </w:rPr>
        <w:t xml:space="preserve"> between RAN1 and RAN2 standardization efforts. DRX timer</w:t>
      </w:r>
      <w:r w:rsidR="00EF63DB">
        <w:rPr>
          <w:lang w:val="en-GB"/>
        </w:rPr>
        <w:t>s</w:t>
      </w:r>
      <w:r w:rsidR="008F1584">
        <w:rPr>
          <w:lang w:val="en-GB"/>
        </w:rPr>
        <w:t xml:space="preserve"> </w:t>
      </w:r>
      <w:r w:rsidR="00EF63DB">
        <w:rPr>
          <w:lang w:val="en-GB"/>
        </w:rPr>
        <w:t xml:space="preserve">are </w:t>
      </w:r>
      <w:r w:rsidR="008F1584">
        <w:rPr>
          <w:lang w:val="en-GB"/>
        </w:rPr>
        <w:t xml:space="preserve">specified in RAN2, but BWP is </w:t>
      </w:r>
      <w:r w:rsidR="00BA4A56">
        <w:rPr>
          <w:lang w:val="en-GB"/>
        </w:rPr>
        <w:t xml:space="preserve">mainly </w:t>
      </w:r>
      <w:r w:rsidR="008F1584">
        <w:rPr>
          <w:lang w:val="en-GB"/>
        </w:rPr>
        <w:t>specified in RAN1.</w:t>
      </w:r>
    </w:p>
    <w:p w14:paraId="2DD12398" w14:textId="77715C38" w:rsidR="008F1584" w:rsidRDefault="008F1584" w:rsidP="00D14D0C">
      <w:pPr>
        <w:rPr>
          <w:lang w:val="en-GB"/>
        </w:rPr>
      </w:pPr>
      <w:r>
        <w:rPr>
          <w:lang w:val="en-GB"/>
        </w:rPr>
        <w:t xml:space="preserve">Second, there is a technical reason for not reusing the DRX inactivity timer for BWP switching to the default, which is motivated by UE power saving. For initial deployment of Rel 15, it is envisioned that BWP usage would be very simple: default BWP could be configured to be a narrower BWP intended for PDCCH monitoring at low power consumption, and another wider BWP configured for scheduled data. To minimize signalling overhead, a single scheduling grant </w:t>
      </w:r>
      <w:r w:rsidR="00C34D69">
        <w:rPr>
          <w:lang w:val="en-GB"/>
        </w:rPr>
        <w:t>can</w:t>
      </w:r>
      <w:r>
        <w:rPr>
          <w:lang w:val="en-GB"/>
        </w:rPr>
        <w:t xml:space="preserve"> switch </w:t>
      </w:r>
      <w:r w:rsidR="00C34D69">
        <w:rPr>
          <w:lang w:val="en-GB"/>
        </w:rPr>
        <w:t xml:space="preserve">the active </w:t>
      </w:r>
      <w:r>
        <w:rPr>
          <w:lang w:val="en-GB"/>
        </w:rPr>
        <w:t xml:space="preserve">BWP to the wider BWP from the narrower </w:t>
      </w:r>
      <w:r w:rsidR="00C34D69">
        <w:rPr>
          <w:lang w:val="en-GB"/>
        </w:rPr>
        <w:t>BWP</w:t>
      </w:r>
      <w:r>
        <w:rPr>
          <w:lang w:val="en-GB"/>
        </w:rPr>
        <w:t>. After the traffic burst taper</w:t>
      </w:r>
      <w:r w:rsidR="00F1710E">
        <w:rPr>
          <w:lang w:val="en-GB"/>
        </w:rPr>
        <w:t>s</w:t>
      </w:r>
      <w:r>
        <w:rPr>
          <w:lang w:val="en-GB"/>
        </w:rPr>
        <w:t xml:space="preserve"> off, it is envisioned that return to the narrower (default) BWP is triggered by the timer without additional signalling. If the same DRX inactivity timer is used, this means UE would stay in the wider BWP for </w:t>
      </w:r>
      <w:r w:rsidR="00131591">
        <w:rPr>
          <w:lang w:val="en-GB"/>
        </w:rPr>
        <w:t>as long as</w:t>
      </w:r>
      <w:r>
        <w:rPr>
          <w:lang w:val="en-GB"/>
        </w:rPr>
        <w:t xml:space="preserve"> the inactivity timer</w:t>
      </w:r>
      <w:r w:rsidR="00131591">
        <w:rPr>
          <w:lang w:val="en-GB"/>
        </w:rPr>
        <w:t xml:space="preserve"> is running, which could be a long time</w:t>
      </w:r>
      <w:r>
        <w:rPr>
          <w:lang w:val="en-GB"/>
        </w:rPr>
        <w:t>. Typically, DRX inactivity timer is set to a large value of 100~200 milliseconds for C-DRX cycle of 320 milliseconds</w:t>
      </w:r>
      <w:r w:rsidR="00C34D69">
        <w:rPr>
          <w:lang w:val="en-GB"/>
        </w:rPr>
        <w:t xml:space="preserve">, much larger than the ON duration (typically </w:t>
      </w:r>
      <w:r w:rsidR="00F7424C">
        <w:rPr>
          <w:lang w:val="en-GB"/>
        </w:rPr>
        <w:t xml:space="preserve">only </w:t>
      </w:r>
      <w:r w:rsidR="00C34D69">
        <w:rPr>
          <w:lang w:val="en-GB"/>
        </w:rPr>
        <w:t>10 milliseconds)</w:t>
      </w:r>
      <w:r>
        <w:rPr>
          <w:lang w:val="en-GB"/>
        </w:rPr>
        <w:t>. This implies that</w:t>
      </w:r>
      <w:r w:rsidR="000F4A99">
        <w:rPr>
          <w:lang w:val="en-GB"/>
        </w:rPr>
        <w:t xml:space="preserve"> </w:t>
      </w:r>
      <w:r>
        <w:rPr>
          <w:lang w:val="en-GB"/>
        </w:rPr>
        <w:t>for most of the cases, power saving due to narrower BWP is not realized</w:t>
      </w:r>
      <w:r w:rsidR="005E4FBF">
        <w:rPr>
          <w:lang w:val="en-GB"/>
        </w:rPr>
        <w:t xml:space="preserve"> – </w:t>
      </w:r>
      <w:r>
        <w:rPr>
          <w:lang w:val="en-GB"/>
        </w:rPr>
        <w:t xml:space="preserve">It is exercised only for the </w:t>
      </w:r>
      <w:r w:rsidR="00C34D69">
        <w:rPr>
          <w:lang w:val="en-GB"/>
        </w:rPr>
        <w:t>ON duration</w:t>
      </w:r>
      <w:r>
        <w:rPr>
          <w:lang w:val="en-GB"/>
        </w:rPr>
        <w:t xml:space="preserve"> for which no data is scheduled, or some portion of the ON duration before data is scheduled.</w:t>
      </w:r>
    </w:p>
    <w:p w14:paraId="7415949C" w14:textId="52EBCA07" w:rsidR="00D14D0C" w:rsidRDefault="005E4FBF" w:rsidP="00D14D0C">
      <w:pPr>
        <w:rPr>
          <w:lang w:val="en-GB"/>
        </w:rPr>
      </w:pPr>
      <w:r>
        <w:rPr>
          <w:lang w:val="en-GB"/>
        </w:rPr>
        <w:t xml:space="preserve">To realize fuller potential of UE power saving promised by BWP switching, a new timer </w:t>
      </w:r>
      <w:r w:rsidR="00622DCC">
        <w:rPr>
          <w:lang w:val="en-GB"/>
        </w:rPr>
        <w:t>has to</w:t>
      </w:r>
      <w:r>
        <w:rPr>
          <w:lang w:val="en-GB"/>
        </w:rPr>
        <w:t xml:space="preserve"> be defined and it should be configured to be smaller than the DRX inactivity timer.</w:t>
      </w:r>
      <w:r w:rsidR="004F547E">
        <w:rPr>
          <w:lang w:val="en-GB"/>
        </w:rPr>
        <w:t xml:space="preserve"> From the point of view of DRX operation, BWP switching </w:t>
      </w:r>
      <w:r w:rsidR="00BF1FA2">
        <w:rPr>
          <w:lang w:val="en-GB"/>
        </w:rPr>
        <w:t>allows UE to operate at</w:t>
      </w:r>
      <w:r w:rsidR="004F547E">
        <w:rPr>
          <w:lang w:val="en-GB"/>
        </w:rPr>
        <w:t xml:space="preserve"> different power levels during the active state</w:t>
      </w:r>
      <w:r w:rsidR="00BF1FA2">
        <w:rPr>
          <w:lang w:val="en-GB"/>
        </w:rPr>
        <w:t>, effectively providing some more intermediate operating points between the ON and OFF states.</w:t>
      </w:r>
    </w:p>
    <w:p w14:paraId="69478281" w14:textId="3AB247C9" w:rsidR="000E5C46" w:rsidRDefault="000E5C46" w:rsidP="000E5C46">
      <w:pPr>
        <w:pStyle w:val="Caption"/>
        <w:rPr>
          <w:lang w:val="en-GB"/>
        </w:rPr>
      </w:pPr>
      <w:bookmarkStart w:id="70" w:name="_Toc494572798"/>
      <w:bookmarkStart w:id="71" w:name="_Toc494577158"/>
      <w:bookmarkStart w:id="72" w:name="_Toc494705625"/>
      <w:bookmarkStart w:id="73" w:name="_Toc494706222"/>
      <w:bookmarkStart w:id="74" w:name="_Toc494706602"/>
      <w:bookmarkStart w:id="75" w:name="_Toc494718924"/>
      <w:bookmarkStart w:id="76" w:name="_Toc494718948"/>
      <w:bookmarkStart w:id="77" w:name="_Toc494737094"/>
      <w:bookmarkStart w:id="78" w:name="_Toc494741489"/>
      <w:bookmarkStart w:id="79" w:name="_Toc494742683"/>
      <w:bookmarkStart w:id="80" w:name="_Toc494742966"/>
      <w:bookmarkStart w:id="81" w:name="_Toc494743445"/>
      <w:bookmarkStart w:id="82" w:name="_Toc494743592"/>
      <w:bookmarkStart w:id="83" w:name="_Toc494743629"/>
      <w:bookmarkStart w:id="84" w:name="_Toc494744789"/>
      <w:r>
        <w:t xml:space="preserve">Proposal </w:t>
      </w:r>
      <w:r w:rsidR="00744E5D">
        <w:fldChar w:fldCharType="begin"/>
      </w:r>
      <w:r w:rsidR="00744E5D">
        <w:instrText xml:space="preserve"> SEQ Proposal \* ARABIC </w:instrText>
      </w:r>
      <w:r w:rsidR="00744E5D">
        <w:fldChar w:fldCharType="separate"/>
      </w:r>
      <w:r w:rsidR="003846C9">
        <w:rPr>
          <w:noProof/>
        </w:rPr>
        <w:t>4</w:t>
      </w:r>
      <w:r w:rsidR="00744E5D">
        <w:rPr>
          <w:noProof/>
        </w:rPr>
        <w:fldChar w:fldCharType="end"/>
      </w:r>
      <w:r>
        <w:t xml:space="preserve">: </w:t>
      </w:r>
      <w:r>
        <w:rPr>
          <w:lang w:val="en-GB"/>
        </w:rPr>
        <w:t>For timer-based mechanism to switch from an active BWP to the default BWP, a new timer is introduced.</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0F1A823" w14:textId="32D0B84A" w:rsidR="005E4FBF" w:rsidRDefault="004E6DF0" w:rsidP="00D14D0C">
      <w:pPr>
        <w:rPr>
          <w:lang w:val="en-GB"/>
        </w:rPr>
      </w:pPr>
      <w:r>
        <w:rPr>
          <w:lang w:val="en-GB"/>
        </w:rPr>
        <w:t xml:space="preserve">The triggering condition should be based on grant, same as DRX inactivity timer. This is </w:t>
      </w:r>
      <w:r w:rsidR="00CB5CF1">
        <w:rPr>
          <w:lang w:val="en-GB"/>
        </w:rPr>
        <w:t>based on</w:t>
      </w:r>
      <w:r>
        <w:rPr>
          <w:lang w:val="en-GB"/>
        </w:rPr>
        <w:t xml:space="preserve"> the assumption that </w:t>
      </w:r>
      <w:r w:rsidR="00424CE4">
        <w:rPr>
          <w:lang w:val="en-GB"/>
        </w:rPr>
        <w:t>scheduling grants tend</w:t>
      </w:r>
      <w:r>
        <w:rPr>
          <w:lang w:val="en-GB"/>
        </w:rPr>
        <w:t xml:space="preserve"> to </w:t>
      </w:r>
      <w:r w:rsidR="00500D6D">
        <w:rPr>
          <w:lang w:val="en-GB"/>
        </w:rPr>
        <w:t>cluster close together in time</w:t>
      </w:r>
      <w:r>
        <w:rPr>
          <w:lang w:val="en-GB"/>
        </w:rPr>
        <w:t xml:space="preserve">; The same principle is </w:t>
      </w:r>
      <w:r w:rsidR="00424CE4">
        <w:rPr>
          <w:lang w:val="en-GB"/>
        </w:rPr>
        <w:t>assumed</w:t>
      </w:r>
      <w:r>
        <w:rPr>
          <w:lang w:val="en-GB"/>
        </w:rPr>
        <w:t xml:space="preserve"> for DRX inactivity timer.</w:t>
      </w:r>
    </w:p>
    <w:p w14:paraId="735DE16B" w14:textId="3B71A18B" w:rsidR="00EF63DB" w:rsidRDefault="00504670" w:rsidP="00D14D0C">
      <w:pPr>
        <w:rPr>
          <w:lang w:val="en-GB"/>
        </w:rPr>
      </w:pPr>
      <w:r>
        <w:rPr>
          <w:lang w:val="en-GB"/>
        </w:rPr>
        <w:t xml:space="preserve">RAN2 has decided to base the unit of DRX timers on absolute time (i.e. milliseconds) </w:t>
      </w:r>
      <w:r w:rsidR="003346F8">
        <w:rPr>
          <w:lang w:val="en-GB"/>
        </w:rPr>
        <w:fldChar w:fldCharType="begin"/>
      </w:r>
      <w:r w:rsidR="003346F8">
        <w:rPr>
          <w:lang w:val="en-GB"/>
        </w:rPr>
        <w:instrText xml:space="preserve"> REF _Ref494705652 \r \h </w:instrText>
      </w:r>
      <w:r w:rsidR="003346F8">
        <w:rPr>
          <w:lang w:val="en-GB"/>
        </w:rPr>
      </w:r>
      <w:r w:rsidR="003346F8">
        <w:rPr>
          <w:lang w:val="en-GB"/>
        </w:rPr>
        <w:fldChar w:fldCharType="separate"/>
      </w:r>
      <w:r w:rsidR="00686644">
        <w:rPr>
          <w:lang w:val="en-GB"/>
        </w:rPr>
        <w:t>[7]</w:t>
      </w:r>
      <w:r w:rsidR="003346F8">
        <w:rPr>
          <w:lang w:val="en-GB"/>
        </w:rPr>
        <w:fldChar w:fldCharType="end"/>
      </w:r>
      <w:r w:rsidR="003346F8">
        <w:rPr>
          <w:lang w:val="en-GB"/>
        </w:rPr>
        <w:t xml:space="preserve"> </w:t>
      </w:r>
      <w:r>
        <w:rPr>
          <w:lang w:val="en-GB"/>
        </w:rPr>
        <w:t xml:space="preserve">instead of in units of slots, symbols, or PDCCH monitoring periodicity, which are all numerology dependent. </w:t>
      </w:r>
      <w:r w:rsidR="0038269E">
        <w:rPr>
          <w:lang w:val="en-GB"/>
        </w:rPr>
        <w:t>For the new timer, a similar approach can be taken.</w:t>
      </w:r>
    </w:p>
    <w:p w14:paraId="2B78C579" w14:textId="72FAD87A" w:rsidR="000E5C46" w:rsidRDefault="000E5C46" w:rsidP="000E5C46">
      <w:pPr>
        <w:pStyle w:val="Caption"/>
        <w:rPr>
          <w:lang w:val="en-GB"/>
        </w:rPr>
      </w:pPr>
      <w:bookmarkStart w:id="85" w:name="_Toc494572799"/>
      <w:bookmarkStart w:id="86" w:name="_Toc494577159"/>
      <w:bookmarkStart w:id="87" w:name="_Toc494705626"/>
      <w:bookmarkStart w:id="88" w:name="_Toc494706223"/>
      <w:bookmarkStart w:id="89" w:name="_Toc494706603"/>
      <w:bookmarkStart w:id="90" w:name="_Toc494718925"/>
      <w:bookmarkStart w:id="91" w:name="_Toc494718949"/>
      <w:bookmarkStart w:id="92" w:name="_Toc494737095"/>
      <w:bookmarkStart w:id="93" w:name="_Toc494741490"/>
      <w:bookmarkStart w:id="94" w:name="_Toc494742684"/>
      <w:bookmarkStart w:id="95" w:name="_Toc494742967"/>
      <w:bookmarkStart w:id="96" w:name="_Toc494743446"/>
      <w:bookmarkStart w:id="97" w:name="_Toc494743593"/>
      <w:bookmarkStart w:id="98" w:name="_Toc494743630"/>
      <w:bookmarkStart w:id="99" w:name="_Toc494744790"/>
      <w:r>
        <w:t xml:space="preserve">Proposal </w:t>
      </w:r>
      <w:r w:rsidR="00744E5D">
        <w:fldChar w:fldCharType="begin"/>
      </w:r>
      <w:r w:rsidR="00744E5D">
        <w:instrText xml:space="preserve"> SEQ Proposal \* ARABIC </w:instrText>
      </w:r>
      <w:r w:rsidR="00744E5D">
        <w:fldChar w:fldCharType="separate"/>
      </w:r>
      <w:r w:rsidR="003846C9">
        <w:rPr>
          <w:noProof/>
        </w:rPr>
        <w:t>5</w:t>
      </w:r>
      <w:r w:rsidR="00744E5D">
        <w:rPr>
          <w:noProof/>
        </w:rPr>
        <w:fldChar w:fldCharType="end"/>
      </w:r>
      <w:r>
        <w:t xml:space="preserve">: </w:t>
      </w:r>
      <w:r>
        <w:rPr>
          <w:lang w:val="en-GB"/>
        </w:rPr>
        <w:t>For the triggering condition and definition of the time units for the new timer, adopt the same as the DRX inactivity timer.</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2DF6A6F" w14:textId="2EA5BEA4" w:rsidR="005E4FBF" w:rsidRDefault="005E4FBF" w:rsidP="00D14D0C">
      <w:pPr>
        <w:rPr>
          <w:lang w:val="en-GB"/>
        </w:rPr>
      </w:pPr>
    </w:p>
    <w:p w14:paraId="3087D613" w14:textId="77777777" w:rsidR="00680346" w:rsidRDefault="00680346" w:rsidP="00680346">
      <w:pPr>
        <w:pStyle w:val="Heading3"/>
      </w:pPr>
      <w:r>
        <w:t>Maximum Number of BWP Configuration per Cell</w:t>
      </w:r>
    </w:p>
    <w:p w14:paraId="662C52EB" w14:textId="77777777" w:rsidR="00680346" w:rsidRPr="00C41D2B" w:rsidRDefault="00680346" w:rsidP="00680346">
      <w:pPr>
        <w:rPr>
          <w:lang w:val="en-GB"/>
        </w:rPr>
      </w:pPr>
      <w:r>
        <w:rPr>
          <w:lang w:val="en-GB"/>
        </w:rPr>
        <w:t>During offline discussion in RAN1 NR AH#3, there has been a near consensus that the maximum number of BWP configuration per cell (and for each link direction) should be 4. From our view, this is mainly based on the accounting that there has to be at least a default BWP, another configured BWP with wider bandwidth, and one or two more for flexibility.</w:t>
      </w:r>
    </w:p>
    <w:p w14:paraId="4D75EE2B" w14:textId="77777777" w:rsidR="00680346" w:rsidRDefault="00680346" w:rsidP="00680346">
      <w:pPr>
        <w:spacing w:after="120"/>
      </w:pPr>
      <w:r>
        <w:t>Considering the complexity of BWP and the amount of standardization work, RAN1 should consider introducing the feature with a phased approach.</w:t>
      </w:r>
    </w:p>
    <w:p w14:paraId="403EB792" w14:textId="4949AD58" w:rsidR="00680346" w:rsidRDefault="00680346" w:rsidP="00680346">
      <w:pPr>
        <w:pStyle w:val="Caption"/>
      </w:pPr>
      <w:bookmarkStart w:id="100" w:name="_Toc494741491"/>
      <w:bookmarkStart w:id="101" w:name="_Toc494742685"/>
      <w:bookmarkStart w:id="102" w:name="_Toc494742968"/>
      <w:bookmarkStart w:id="103" w:name="_Toc494743447"/>
      <w:bookmarkStart w:id="104" w:name="_Toc494743594"/>
      <w:bookmarkStart w:id="105" w:name="_Toc494743631"/>
      <w:bookmarkStart w:id="106" w:name="_Toc494744791"/>
      <w:r>
        <w:t xml:space="preserve">Proposal </w:t>
      </w:r>
      <w:r w:rsidRPr="00814E13">
        <w:rPr>
          <w:bCs w:val="0"/>
        </w:rPr>
        <w:fldChar w:fldCharType="begin"/>
      </w:r>
      <w:r w:rsidRPr="00814E13">
        <w:rPr>
          <w:bCs w:val="0"/>
        </w:rPr>
        <w:instrText xml:space="preserve"> SEQ Proposal \* ARABIC </w:instrText>
      </w:r>
      <w:r w:rsidRPr="00814E13">
        <w:rPr>
          <w:bCs w:val="0"/>
        </w:rPr>
        <w:fldChar w:fldCharType="separate"/>
      </w:r>
      <w:r w:rsidR="003846C9">
        <w:rPr>
          <w:bCs w:val="0"/>
          <w:noProof/>
        </w:rPr>
        <w:t>6</w:t>
      </w:r>
      <w:r w:rsidRPr="00814E13">
        <w:rPr>
          <w:bCs w:val="0"/>
          <w:noProof/>
        </w:rPr>
        <w:fldChar w:fldCharType="end"/>
      </w:r>
      <w:r>
        <w:t xml:space="preserve">: </w:t>
      </w:r>
      <w:r w:rsidR="00686644">
        <w:t>For Rel-15 P</w:t>
      </w:r>
      <w:r>
        <w:t>hase 1, support up to 2 BWP configurations per cell for each link direction.</w:t>
      </w:r>
      <w:bookmarkEnd w:id="100"/>
      <w:bookmarkEnd w:id="101"/>
      <w:bookmarkEnd w:id="102"/>
      <w:bookmarkEnd w:id="103"/>
      <w:bookmarkEnd w:id="104"/>
      <w:bookmarkEnd w:id="105"/>
      <w:bookmarkEnd w:id="106"/>
    </w:p>
    <w:p w14:paraId="278F6AF4" w14:textId="026F4C67" w:rsidR="00680346" w:rsidRDefault="00680346" w:rsidP="00680346">
      <w:r>
        <w:t xml:space="preserve">Allowing up to two configured BWPs should cover the most important use case for BWP switching, which is to dynamically switch between a narrow (default) BWP and a wider BWP. In our view, it is important to prioritize getting </w:t>
      </w:r>
      <w:r>
        <w:lastRenderedPageBreak/>
        <w:t>this use case to work. If BWP complexity is too high, there is a real risk that either standardization work cannot complete in time and/or implementation/testing becomes unmanageable for timely deployment.</w:t>
      </w:r>
    </w:p>
    <w:p w14:paraId="02D2BAB4" w14:textId="77777777" w:rsidR="00680346" w:rsidRDefault="00680346" w:rsidP="00680346">
      <w:pPr>
        <w:rPr>
          <w:lang w:val="en-GB"/>
        </w:rPr>
      </w:pPr>
    </w:p>
    <w:p w14:paraId="1A80272E" w14:textId="5FF51ADE" w:rsidR="00D14D0C" w:rsidRDefault="00B642E9" w:rsidP="00D14D0C">
      <w:pPr>
        <w:pStyle w:val="Heading3"/>
      </w:pPr>
      <w:r>
        <w:t>Common Search Space Support</w:t>
      </w:r>
    </w:p>
    <w:p w14:paraId="5914A072" w14:textId="148C3AA6" w:rsidR="00323273" w:rsidRDefault="00323273" w:rsidP="00323273">
      <w:pPr>
        <w:rPr>
          <w:lang w:val="en-GB"/>
        </w:rPr>
      </w:pPr>
      <w:r>
        <w:rPr>
          <w:lang w:val="en-GB"/>
        </w:rPr>
        <w:t>In RAN1 NR AH#2, the following agreement was made</w:t>
      </w:r>
      <w:r w:rsidR="00535933">
        <w:rPr>
          <w:lang w:val="en-GB"/>
        </w:rPr>
        <w:t xml:space="preserve"> </w:t>
      </w:r>
      <w:r w:rsidR="00535933">
        <w:rPr>
          <w:lang w:val="en-GB"/>
        </w:rPr>
        <w:fldChar w:fldCharType="begin"/>
      </w:r>
      <w:r w:rsidR="00535933">
        <w:rPr>
          <w:lang w:val="en-GB"/>
        </w:rPr>
        <w:instrText xml:space="preserve"> REF _Ref494545744 \r \h </w:instrText>
      </w:r>
      <w:r w:rsidR="00535933">
        <w:rPr>
          <w:lang w:val="en-GB"/>
        </w:rPr>
      </w:r>
      <w:r w:rsidR="00535933">
        <w:rPr>
          <w:lang w:val="en-GB"/>
        </w:rPr>
        <w:fldChar w:fldCharType="separate"/>
      </w:r>
      <w:r w:rsidR="00686644">
        <w:rPr>
          <w:lang w:val="en-GB"/>
        </w:rPr>
        <w:t>[5]</w:t>
      </w:r>
      <w:r w:rsidR="00535933">
        <w:rPr>
          <w:lang w:val="en-GB"/>
        </w:rPr>
        <w:fldChar w:fldCharType="end"/>
      </w:r>
      <w:r>
        <w:rPr>
          <w:lang w:val="en-GB"/>
        </w:rPr>
        <w:t>:</w:t>
      </w:r>
    </w:p>
    <w:p w14:paraId="6098F30A" w14:textId="77777777" w:rsidR="00323273" w:rsidRPr="008A1A37" w:rsidRDefault="00323273" w:rsidP="00323273">
      <w:pPr>
        <w:numPr>
          <w:ilvl w:val="0"/>
          <w:numId w:val="42"/>
        </w:numPr>
        <w:overflowPunct/>
        <w:autoSpaceDE/>
        <w:autoSpaceDN/>
        <w:adjustRightInd/>
        <w:spacing w:after="0"/>
        <w:textAlignment w:val="auto"/>
        <w:rPr>
          <w:rFonts w:eastAsia="MS Mincho"/>
          <w:lang w:eastAsia="ja-JP"/>
        </w:rPr>
      </w:pPr>
      <w:r w:rsidRPr="008A1A37">
        <w:rPr>
          <w:rFonts w:eastAsia="MS Mincho"/>
          <w:lang w:eastAsia="ja-JP"/>
        </w:rPr>
        <w:t>At least one of configured DL BWPs includes one CORESET with common search space at least in primary component carrier</w:t>
      </w:r>
    </w:p>
    <w:p w14:paraId="66B0A437" w14:textId="77777777" w:rsidR="00323273" w:rsidRPr="008A1A37" w:rsidRDefault="00323273" w:rsidP="00323273">
      <w:pPr>
        <w:numPr>
          <w:ilvl w:val="0"/>
          <w:numId w:val="42"/>
        </w:numPr>
        <w:overflowPunct/>
        <w:autoSpaceDE/>
        <w:autoSpaceDN/>
        <w:adjustRightInd/>
        <w:spacing w:after="0"/>
        <w:textAlignment w:val="auto"/>
        <w:rPr>
          <w:rFonts w:eastAsia="MS Mincho"/>
          <w:lang w:eastAsia="ja-JP"/>
        </w:rPr>
      </w:pPr>
      <w:r w:rsidRPr="008A1A37">
        <w:rPr>
          <w:rFonts w:eastAsia="MS Mincho"/>
          <w:lang w:eastAsia="ja-JP"/>
        </w:rPr>
        <w:t xml:space="preserve">Each configured DL BWP includes at least one CORESET with UE-specific search space for the case of single active </w:t>
      </w:r>
      <w:r w:rsidRPr="008A1A37">
        <w:rPr>
          <w:rFonts w:eastAsia="MS Mincho" w:hint="eastAsia"/>
          <w:lang w:eastAsia="ja-JP"/>
        </w:rPr>
        <w:t>BWP</w:t>
      </w:r>
      <w:r w:rsidRPr="008A1A37">
        <w:rPr>
          <w:rFonts w:eastAsia="MS Mincho"/>
          <w:lang w:eastAsia="ja-JP"/>
        </w:rPr>
        <w:t xml:space="preserve"> at a given time</w:t>
      </w:r>
    </w:p>
    <w:p w14:paraId="2198CD2A" w14:textId="77777777" w:rsidR="00323273" w:rsidRPr="008A1A37" w:rsidRDefault="00323273" w:rsidP="00323273">
      <w:pPr>
        <w:numPr>
          <w:ilvl w:val="1"/>
          <w:numId w:val="42"/>
        </w:numPr>
        <w:overflowPunct/>
        <w:autoSpaceDE/>
        <w:autoSpaceDN/>
        <w:adjustRightInd/>
        <w:spacing w:after="120"/>
        <w:ind w:left="1434" w:hanging="357"/>
        <w:textAlignment w:val="auto"/>
        <w:rPr>
          <w:rFonts w:eastAsia="MS Mincho"/>
          <w:lang w:eastAsia="ja-JP"/>
        </w:rPr>
      </w:pPr>
      <w:r w:rsidRPr="008A1A37">
        <w:rPr>
          <w:rFonts w:eastAsia="MS Mincho" w:hint="eastAsia"/>
          <w:lang w:eastAsia="ja-JP"/>
        </w:rPr>
        <w:t>In case of single active BWP</w:t>
      </w:r>
      <w:r w:rsidRPr="008A1A37">
        <w:rPr>
          <w:rFonts w:eastAsia="MS Mincho"/>
          <w:lang w:eastAsia="ja-JP"/>
        </w:rPr>
        <w:t xml:space="preserve"> at a given time</w:t>
      </w:r>
      <w:r w:rsidRPr="008A1A37">
        <w:rPr>
          <w:rFonts w:eastAsia="MS Mincho" w:hint="eastAsia"/>
          <w:lang w:eastAsia="ja-JP"/>
        </w:rPr>
        <w:t>, if active DL BWP does not include common search space, then UE is not required to monitor the common search space</w:t>
      </w:r>
    </w:p>
    <w:p w14:paraId="6CD66B6D" w14:textId="639F8F28" w:rsidR="00323273" w:rsidRDefault="00323273" w:rsidP="00323273">
      <w:pPr>
        <w:rPr>
          <w:lang w:val="en-GB"/>
        </w:rPr>
      </w:pPr>
    </w:p>
    <w:p w14:paraId="7B43E571" w14:textId="62B2BA75" w:rsidR="00535933" w:rsidRDefault="00E430BF" w:rsidP="00323273">
      <w:pPr>
        <w:rPr>
          <w:lang w:val="en-GB"/>
        </w:rPr>
      </w:pPr>
      <w:r>
        <w:rPr>
          <w:lang w:val="en-GB"/>
        </w:rPr>
        <w:t>UE needs to monitor for RMSI and broadcast OSI wh</w:t>
      </w:r>
      <w:r w:rsidR="00732C7F">
        <w:rPr>
          <w:lang w:val="en-GB"/>
        </w:rPr>
        <w:t>ich is transmitted by the gNB within</w:t>
      </w:r>
      <w:r>
        <w:rPr>
          <w:lang w:val="en-GB"/>
        </w:rPr>
        <w:t xml:space="preserve"> the common search space (CSS) </w:t>
      </w:r>
      <w:r w:rsidR="00732C7F">
        <w:rPr>
          <w:lang w:val="en-GB"/>
        </w:rPr>
        <w:t xml:space="preserve">on </w:t>
      </w:r>
      <w:r>
        <w:rPr>
          <w:lang w:val="en-GB"/>
        </w:rPr>
        <w:t xml:space="preserve">the PCell. </w:t>
      </w:r>
      <w:r w:rsidR="003B4F75">
        <w:rPr>
          <w:lang w:val="en-GB"/>
        </w:rPr>
        <w:t xml:space="preserve">In addition, RACH response and paging control monitoring on the PCell can also be transmitted within the CSS. </w:t>
      </w:r>
      <w:r w:rsidR="003B4F75">
        <w:rPr>
          <w:lang w:val="en-GB"/>
        </w:rPr>
        <w:t>Above agreement allows UE to be on an active BWP configured with UE-specific search space (USSS) only, and when that is the case, UE is not required to monitor the common search space.</w:t>
      </w:r>
    </w:p>
    <w:p w14:paraId="65271845" w14:textId="2C8B339C" w:rsidR="00680346" w:rsidRDefault="00680346" w:rsidP="00323273">
      <w:pPr>
        <w:rPr>
          <w:lang w:val="en-GB"/>
        </w:rPr>
      </w:pPr>
      <w:r>
        <w:rPr>
          <w:lang w:val="en-GB"/>
        </w:rPr>
        <w:t>F</w:t>
      </w:r>
      <w:r w:rsidR="00E430BF">
        <w:rPr>
          <w:lang w:val="en-GB"/>
        </w:rPr>
        <w:t xml:space="preserve">or a PCell, at least </w:t>
      </w:r>
      <w:r w:rsidR="00E430BF" w:rsidRPr="00E430BF">
        <w:rPr>
          <w:lang w:val="en-GB"/>
        </w:rPr>
        <w:t>one of configured DL bandwidth parts includes one CORESET with CSS type</w:t>
      </w:r>
      <w:r>
        <w:rPr>
          <w:lang w:val="en-GB"/>
        </w:rPr>
        <w:t>. It has been proposed that to monitor RMSI and broadcast OSI, UE can periodically switch to the BWP containing the CSS.</w:t>
      </w:r>
      <w:r w:rsidR="003B4F75">
        <w:rPr>
          <w:lang w:val="en-GB"/>
        </w:rPr>
        <w:t xml:space="preserve"> Likewise for RACH response and paging control monitoring on the PCell.</w:t>
      </w:r>
    </w:p>
    <w:p w14:paraId="64162DF9" w14:textId="21AF0385" w:rsidR="00680346" w:rsidRDefault="00680346" w:rsidP="00323273">
      <w:pPr>
        <w:rPr>
          <w:lang w:val="en-GB"/>
        </w:rPr>
      </w:pPr>
      <w:r>
        <w:rPr>
          <w:lang w:val="en-GB"/>
        </w:rPr>
        <w:t xml:space="preserve">While this proposal may be workable, if BWP switching to monitor the CSS happens frequently, </w:t>
      </w:r>
      <w:r w:rsidR="003B4F75">
        <w:rPr>
          <w:lang w:val="en-GB"/>
        </w:rPr>
        <w:t>it</w:t>
      </w:r>
      <w:r>
        <w:rPr>
          <w:lang w:val="en-GB"/>
        </w:rPr>
        <w:t xml:space="preserve"> </w:t>
      </w:r>
      <w:r w:rsidR="003B4F75">
        <w:rPr>
          <w:lang w:val="en-GB"/>
        </w:rPr>
        <w:t xml:space="preserve">introduces overhead </w:t>
      </w:r>
      <w:r>
        <w:rPr>
          <w:lang w:val="en-GB"/>
        </w:rPr>
        <w:t>and compromises the intended UE power saving objective.</w:t>
      </w:r>
    </w:p>
    <w:p w14:paraId="286ADB0D" w14:textId="3B6DF701" w:rsidR="00680346" w:rsidRDefault="00680346" w:rsidP="00323273">
      <w:pPr>
        <w:rPr>
          <w:lang w:val="en-GB"/>
        </w:rPr>
      </w:pPr>
      <w:r>
        <w:rPr>
          <w:lang w:val="en-GB"/>
        </w:rPr>
        <w:t>Between any two BWP, there are three scenarios regarding overlapping in frequency</w:t>
      </w:r>
      <w:r w:rsidR="00B2683D">
        <w:rPr>
          <w:lang w:val="en-GB"/>
        </w:rPr>
        <w:t>, as illustrated below:</w:t>
      </w:r>
    </w:p>
    <w:tbl>
      <w:tblPr>
        <w:tblStyle w:val="TableGrid"/>
        <w:tblW w:w="0" w:type="auto"/>
        <w:tblLook w:val="04A0" w:firstRow="1" w:lastRow="0" w:firstColumn="1" w:lastColumn="0" w:noHBand="0" w:noVBand="1"/>
      </w:tblPr>
      <w:tblGrid>
        <w:gridCol w:w="4814"/>
        <w:gridCol w:w="4814"/>
      </w:tblGrid>
      <w:tr w:rsidR="00B2683D" w14:paraId="209B1B34" w14:textId="77777777" w:rsidTr="002441E6">
        <w:tc>
          <w:tcPr>
            <w:tcW w:w="4814" w:type="dxa"/>
          </w:tcPr>
          <w:p w14:paraId="3A4E878C" w14:textId="77777777" w:rsidR="00B2683D" w:rsidRDefault="00B2683D" w:rsidP="00814E13">
            <w:pPr>
              <w:jc w:val="left"/>
              <w:rPr>
                <w:lang w:val="en-GB"/>
              </w:rPr>
            </w:pPr>
            <w:r>
              <w:rPr>
                <w:lang w:val="en-GB"/>
              </w:rPr>
              <w:t>Case 1: Nested (completely overlapping) BWP configurations</w:t>
            </w:r>
          </w:p>
          <w:p w14:paraId="71B2D74E" w14:textId="77777777" w:rsidR="00B2683D" w:rsidRDefault="00B2683D" w:rsidP="002441E6">
            <w:pPr>
              <w:rPr>
                <w:lang w:val="en-GB"/>
              </w:rPr>
            </w:pPr>
            <w:r>
              <w:rPr>
                <w:noProof/>
              </w:rPr>
              <w:drawing>
                <wp:inline distT="0" distB="0" distL="0" distR="0" wp14:anchorId="25B959C2" wp14:editId="52B51FBF">
                  <wp:extent cx="2414016" cy="1207008"/>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414016" cy="1207008"/>
                          </a:xfrm>
                          <a:prstGeom prst="rect">
                            <a:avLst/>
                          </a:prstGeom>
                        </pic:spPr>
                      </pic:pic>
                    </a:graphicData>
                  </a:graphic>
                </wp:inline>
              </w:drawing>
            </w:r>
          </w:p>
        </w:tc>
        <w:tc>
          <w:tcPr>
            <w:tcW w:w="4814" w:type="dxa"/>
          </w:tcPr>
          <w:p w14:paraId="74FAB62E" w14:textId="77777777" w:rsidR="00B2683D" w:rsidRDefault="00B2683D" w:rsidP="002441E6">
            <w:pPr>
              <w:rPr>
                <w:lang w:val="en-GB"/>
              </w:rPr>
            </w:pPr>
            <w:r>
              <w:rPr>
                <w:lang w:val="en-GB"/>
              </w:rPr>
              <w:t>Case 2: Partially overlapping BWP configurations</w:t>
            </w:r>
          </w:p>
          <w:p w14:paraId="512C03D0" w14:textId="7EDCD936" w:rsidR="00B2683D" w:rsidRDefault="00B2683D" w:rsidP="002441E6">
            <w:pPr>
              <w:rPr>
                <w:lang w:val="en-GB"/>
              </w:rPr>
            </w:pPr>
            <w:r>
              <w:rPr>
                <w:noProof/>
              </w:rPr>
              <w:drawing>
                <wp:inline distT="0" distB="0" distL="0" distR="0" wp14:anchorId="7985EB2B" wp14:editId="6A43F286">
                  <wp:extent cx="2642616" cy="1207008"/>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642616" cy="1207008"/>
                          </a:xfrm>
                          <a:prstGeom prst="rect">
                            <a:avLst/>
                          </a:prstGeom>
                        </pic:spPr>
                      </pic:pic>
                    </a:graphicData>
                  </a:graphic>
                </wp:inline>
              </w:drawing>
            </w:r>
          </w:p>
        </w:tc>
      </w:tr>
      <w:tr w:rsidR="00B2683D" w14:paraId="2F853E72" w14:textId="77777777" w:rsidTr="002441E6">
        <w:tc>
          <w:tcPr>
            <w:tcW w:w="9628" w:type="dxa"/>
            <w:gridSpan w:val="2"/>
          </w:tcPr>
          <w:p w14:paraId="796F6F28" w14:textId="77777777" w:rsidR="00B2683D" w:rsidRDefault="00B2683D" w:rsidP="002441E6">
            <w:pPr>
              <w:rPr>
                <w:noProof/>
              </w:rPr>
            </w:pPr>
            <w:r>
              <w:rPr>
                <w:noProof/>
              </w:rPr>
              <w:t>Case 3: Non-overlapping BWP configurations</w:t>
            </w:r>
          </w:p>
          <w:p w14:paraId="4308467F" w14:textId="77777777" w:rsidR="00B2683D" w:rsidRDefault="00B2683D" w:rsidP="002441E6">
            <w:pPr>
              <w:rPr>
                <w:noProof/>
              </w:rPr>
            </w:pPr>
            <w:r>
              <w:rPr>
                <w:noProof/>
              </w:rPr>
              <w:drawing>
                <wp:inline distT="0" distB="0" distL="0" distR="0" wp14:anchorId="6AF56F57" wp14:editId="64BD5384">
                  <wp:extent cx="2999232" cy="126187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99232" cy="1261872"/>
                          </a:xfrm>
                          <a:prstGeom prst="rect">
                            <a:avLst/>
                          </a:prstGeom>
                        </pic:spPr>
                      </pic:pic>
                    </a:graphicData>
                  </a:graphic>
                </wp:inline>
              </w:drawing>
            </w:r>
          </w:p>
        </w:tc>
      </w:tr>
    </w:tbl>
    <w:p w14:paraId="04A9A34E" w14:textId="2F150352" w:rsidR="00B2683D" w:rsidRDefault="00B2683D" w:rsidP="00814E13">
      <w:pPr>
        <w:pStyle w:val="Caption"/>
      </w:pPr>
      <w:bookmarkStart w:id="107" w:name="_Ref494740416"/>
      <w:r>
        <w:t xml:space="preserve">Figure </w:t>
      </w:r>
      <w:fldSimple w:instr=" SEQ Figure \* ARABIC ">
        <w:r w:rsidR="00686644">
          <w:rPr>
            <w:noProof/>
          </w:rPr>
          <w:t>4</w:t>
        </w:r>
      </w:fldSimple>
      <w:bookmarkEnd w:id="107"/>
      <w:r>
        <w:t>: Scenarios for BWP configurations overlapping in frequencies</w:t>
      </w:r>
    </w:p>
    <w:p w14:paraId="0C265F7E" w14:textId="77777777" w:rsidR="00B2683D" w:rsidRPr="00814E13" w:rsidRDefault="00B2683D"/>
    <w:p w14:paraId="331A3743" w14:textId="6EDD7C56" w:rsidR="00B2683D" w:rsidRDefault="00B2683D" w:rsidP="00323273">
      <w:pPr>
        <w:rPr>
          <w:lang w:val="en-GB"/>
        </w:rPr>
      </w:pPr>
      <w:r>
        <w:rPr>
          <w:lang w:val="en-GB"/>
        </w:rPr>
        <w:t xml:space="preserve">For Case 1 of nested BWP configurations, the same CORESET configuration can be used across the BWPs. Unless reconfigured otherwise, the default BWP is also the one containing the CSS, as illustrated as BWP1 in Case 1 of </w:t>
      </w:r>
      <w:r>
        <w:rPr>
          <w:lang w:val="en-GB"/>
        </w:rPr>
        <w:fldChar w:fldCharType="begin"/>
      </w:r>
      <w:r>
        <w:rPr>
          <w:lang w:val="en-GB"/>
        </w:rPr>
        <w:instrText xml:space="preserve"> REF _Ref494740416 \h </w:instrText>
      </w:r>
      <w:r>
        <w:rPr>
          <w:lang w:val="en-GB"/>
        </w:rPr>
      </w:r>
      <w:r>
        <w:rPr>
          <w:lang w:val="en-GB"/>
        </w:rPr>
        <w:fldChar w:fldCharType="separate"/>
      </w:r>
      <w:r w:rsidR="00686644">
        <w:t xml:space="preserve">Figure </w:t>
      </w:r>
      <w:r w:rsidR="00686644">
        <w:rPr>
          <w:noProof/>
        </w:rPr>
        <w:t>4</w:t>
      </w:r>
      <w:r>
        <w:rPr>
          <w:lang w:val="en-GB"/>
        </w:rPr>
        <w:fldChar w:fldCharType="end"/>
      </w:r>
      <w:r>
        <w:rPr>
          <w:lang w:val="en-GB"/>
        </w:rPr>
        <w:t xml:space="preserve">. If follows that BWP2 also contains the CSS. In Case 2 of </w:t>
      </w:r>
      <w:r>
        <w:rPr>
          <w:lang w:val="en-GB"/>
        </w:rPr>
        <w:fldChar w:fldCharType="begin"/>
      </w:r>
      <w:r>
        <w:rPr>
          <w:lang w:val="en-GB"/>
        </w:rPr>
        <w:instrText xml:space="preserve"> REF _Ref494740416 \h </w:instrText>
      </w:r>
      <w:r>
        <w:rPr>
          <w:lang w:val="en-GB"/>
        </w:rPr>
      </w:r>
      <w:r>
        <w:rPr>
          <w:lang w:val="en-GB"/>
        </w:rPr>
        <w:fldChar w:fldCharType="separate"/>
      </w:r>
      <w:r w:rsidR="00686644">
        <w:t xml:space="preserve">Figure </w:t>
      </w:r>
      <w:r w:rsidR="00686644">
        <w:rPr>
          <w:noProof/>
        </w:rPr>
        <w:t>4</w:t>
      </w:r>
      <w:r>
        <w:rPr>
          <w:lang w:val="en-GB"/>
        </w:rPr>
        <w:fldChar w:fldCharType="end"/>
      </w:r>
      <w:r>
        <w:rPr>
          <w:lang w:val="en-GB"/>
        </w:rPr>
        <w:t xml:space="preserve">, the BWPs are partially overlapping. </w:t>
      </w:r>
      <w:r w:rsidR="003B4F75">
        <w:rPr>
          <w:lang w:val="en-GB"/>
        </w:rPr>
        <w:t xml:space="preserve">If the </w:t>
      </w:r>
      <w:r w:rsidR="003B4F75">
        <w:rPr>
          <w:lang w:val="en-GB"/>
        </w:rPr>
        <w:lastRenderedPageBreak/>
        <w:t xml:space="preserve">overlapping region is sufficient, BWP2 can be configured to </w:t>
      </w:r>
      <w:r w:rsidR="00686644">
        <w:rPr>
          <w:lang w:val="en-GB"/>
        </w:rPr>
        <w:t>include</w:t>
      </w:r>
      <w:r w:rsidR="003B4F75">
        <w:rPr>
          <w:lang w:val="en-GB"/>
        </w:rPr>
        <w:t xml:space="preserve"> the CSS; Otherwise, from the perspective of configuring the same CORESET containing the CSS, it can be treated as non-overlapping (Case 3). </w:t>
      </w:r>
    </w:p>
    <w:p w14:paraId="3F62FE09" w14:textId="589E0679" w:rsidR="003B4F75" w:rsidRDefault="003B4F75" w:rsidP="00323273">
      <w:pPr>
        <w:rPr>
          <w:lang w:val="en-GB"/>
        </w:rPr>
      </w:pPr>
      <w:r>
        <w:rPr>
          <w:lang w:val="en-GB"/>
        </w:rPr>
        <w:t xml:space="preserve">There are multiple benefits of configuring the same CORESET containing the CSS across BWPs. First, RMSI and broadcast OSI monitoring can be handled without necessitating BWP switching. </w:t>
      </w:r>
      <w:r w:rsidR="00686644">
        <w:rPr>
          <w:lang w:val="en-GB"/>
        </w:rPr>
        <w:t xml:space="preserve">Likewise, RACH response and paging control monitoring on the PCell can also be handled without switching. </w:t>
      </w:r>
      <w:r>
        <w:rPr>
          <w:lang w:val="en-GB"/>
        </w:rPr>
        <w:t xml:space="preserve">Second, if CORESET configuration is the same across BWPs, robustness for BWP switching would improve, </w:t>
      </w:r>
      <w:r w:rsidR="00686644">
        <w:rPr>
          <w:lang w:val="en-GB"/>
        </w:rPr>
        <w:t>because</w:t>
      </w:r>
      <w:r>
        <w:rPr>
          <w:lang w:val="en-GB"/>
        </w:rPr>
        <w:t xml:space="preserve"> even if gNB and UE are out-of-sync as to which BWP is currently active, the DL control channel still works (Note: This requires a further requirement that at least some </w:t>
      </w:r>
      <w:r w:rsidR="00686644">
        <w:rPr>
          <w:lang w:val="en-GB"/>
        </w:rPr>
        <w:t xml:space="preserve">DCI format should be </w:t>
      </w:r>
      <w:r w:rsidR="00760C4C">
        <w:rPr>
          <w:lang w:val="en-GB"/>
        </w:rPr>
        <w:t>functionally invariant across</w:t>
      </w:r>
      <w:r w:rsidR="00686644">
        <w:rPr>
          <w:lang w:val="en-GB"/>
        </w:rPr>
        <w:t xml:space="preserve"> BWP configurations</w:t>
      </w:r>
      <w:r w:rsidR="00C63169">
        <w:rPr>
          <w:lang w:val="en-GB"/>
        </w:rPr>
        <w:t xml:space="preserve">. Functional invariance means the format size is the same; </w:t>
      </w:r>
      <w:r w:rsidR="00C22703">
        <w:rPr>
          <w:lang w:val="en-GB"/>
        </w:rPr>
        <w:t>S</w:t>
      </w:r>
      <w:r w:rsidR="00C63169">
        <w:rPr>
          <w:lang w:val="en-GB"/>
        </w:rPr>
        <w:t xml:space="preserve">ome fields can have different format as long as </w:t>
      </w:r>
      <w:r w:rsidR="00C22703">
        <w:rPr>
          <w:lang w:val="en-GB"/>
        </w:rPr>
        <w:t xml:space="preserve">the </w:t>
      </w:r>
      <w:r w:rsidR="00C63169">
        <w:rPr>
          <w:lang w:val="en-GB"/>
        </w:rPr>
        <w:t xml:space="preserve">UE can interpret </w:t>
      </w:r>
      <w:r w:rsidR="00C22703">
        <w:rPr>
          <w:lang w:val="en-GB"/>
        </w:rPr>
        <w:t>them based on the content in other fields which have the same format</w:t>
      </w:r>
      <w:r w:rsidR="00686644">
        <w:rPr>
          <w:lang w:val="en-GB"/>
        </w:rPr>
        <w:t>). The constraints on BWP configuration may not be too much, considering that BWP is intended for power saving, even the nested configuration should be very versatile for different applications.</w:t>
      </w:r>
    </w:p>
    <w:p w14:paraId="5D585D48" w14:textId="77777777" w:rsidR="00C63169" w:rsidRDefault="00686644" w:rsidP="00814E13">
      <w:pPr>
        <w:pStyle w:val="Caption"/>
      </w:pPr>
      <w:bookmarkStart w:id="108" w:name="_Toc494741492"/>
      <w:bookmarkStart w:id="109" w:name="_Toc494742686"/>
      <w:bookmarkStart w:id="110" w:name="_Toc494742969"/>
      <w:bookmarkStart w:id="111" w:name="_Toc494743448"/>
      <w:bookmarkStart w:id="112" w:name="_Toc494743595"/>
      <w:bookmarkStart w:id="113" w:name="_Toc494744792"/>
      <w:bookmarkStart w:id="114" w:name="_Toc494743632"/>
      <w:r>
        <w:t xml:space="preserve">Proposal </w:t>
      </w:r>
      <w:fldSimple w:instr=" SEQ Proposal \* ARABIC ">
        <w:r w:rsidR="003846C9">
          <w:rPr>
            <w:noProof/>
          </w:rPr>
          <w:t>7</w:t>
        </w:r>
      </w:fldSimple>
      <w:r>
        <w:t>: For Rel-15 Phase 1</w:t>
      </w:r>
      <w:bookmarkEnd w:id="108"/>
      <w:r>
        <w:t>, for PCell</w:t>
      </w:r>
      <w:r w:rsidR="003846C9">
        <w:t xml:space="preserve">, </w:t>
      </w:r>
      <w:r>
        <w:t xml:space="preserve">only support the BWP configurations </w:t>
      </w:r>
      <w:r w:rsidR="003846C9">
        <w:t xml:space="preserve">for a UE for which all </w:t>
      </w:r>
      <w:r>
        <w:t>BWP can be configured the same CORESET containing the CSS.</w:t>
      </w:r>
      <w:bookmarkEnd w:id="109"/>
      <w:bookmarkEnd w:id="110"/>
      <w:bookmarkEnd w:id="111"/>
      <w:bookmarkEnd w:id="112"/>
      <w:bookmarkEnd w:id="113"/>
    </w:p>
    <w:p w14:paraId="4E6AE983" w14:textId="58070077" w:rsidR="00686644" w:rsidRDefault="00492A7F" w:rsidP="00814E13">
      <w:pPr>
        <w:pStyle w:val="Caption"/>
        <w:numPr>
          <w:ilvl w:val="0"/>
          <w:numId w:val="48"/>
        </w:numPr>
      </w:pPr>
      <w:r>
        <w:t>Broadcast information including at least RMSI and OSI can be received by the UE without necessitating switching to a particular BWP</w:t>
      </w:r>
      <w:bookmarkEnd w:id="114"/>
    </w:p>
    <w:p w14:paraId="1FA9ACF9" w14:textId="38D54A40" w:rsidR="00C63169" w:rsidRPr="00814E13" w:rsidRDefault="00C63169" w:rsidP="00814E13">
      <w:pPr>
        <w:pStyle w:val="ListParagraph"/>
        <w:numPr>
          <w:ilvl w:val="0"/>
          <w:numId w:val="48"/>
        </w:numPr>
        <w:rPr>
          <w:b/>
        </w:rPr>
      </w:pPr>
      <w:r w:rsidRPr="00814E13">
        <w:rPr>
          <w:b/>
        </w:rPr>
        <w:t>At least one of DCI formats</w:t>
      </w:r>
      <w:r w:rsidR="00C22703">
        <w:rPr>
          <w:b/>
        </w:rPr>
        <w:t xml:space="preserve"> </w:t>
      </w:r>
      <w:r w:rsidRPr="00814E13">
        <w:rPr>
          <w:b/>
        </w:rPr>
        <w:t xml:space="preserve">should be functionally invariant across BWP configurations </w:t>
      </w:r>
    </w:p>
    <w:p w14:paraId="18A21D29" w14:textId="7CA88427" w:rsidR="00B2683D" w:rsidRDefault="00760C4C" w:rsidP="00323273">
      <w:pPr>
        <w:rPr>
          <w:lang w:val="en-GB"/>
        </w:rPr>
      </w:pPr>
      <w:r>
        <w:rPr>
          <w:lang w:val="en-GB"/>
        </w:rPr>
        <w:t>For the scenarios where the BWP configurations are non-overlapping in frequency (Case 3), extending the aforementioned agreement, there should not be spec mandate for UE to monitor RMSI and broadcast OSI in the CSS. It is left to implementation to handle this case.</w:t>
      </w:r>
    </w:p>
    <w:p w14:paraId="733F1BFB" w14:textId="2F78780C" w:rsidR="00E430BF" w:rsidRDefault="00760C4C" w:rsidP="00323273">
      <w:pPr>
        <w:rPr>
          <w:lang w:val="en-GB"/>
        </w:rPr>
      </w:pPr>
      <w:r>
        <w:rPr>
          <w:lang w:val="en-GB"/>
        </w:rPr>
        <w:t xml:space="preserve">NR also supports group-common search space (GCSS) and this can be used as an alternative to CSS </w:t>
      </w:r>
      <w:r w:rsidR="00A04EEC">
        <w:rPr>
          <w:lang w:val="en-GB"/>
        </w:rPr>
        <w:t>for certain information</w:t>
      </w:r>
      <w:r>
        <w:rPr>
          <w:lang w:val="en-GB"/>
        </w:rPr>
        <w:t>. gNB can configure GCSS within a BWP for a UE, and information such as RACH response and paging control can be transmitted on GCSS, and UE can monitor GCSS instead of switching to the BWP containing the CSS for such information.</w:t>
      </w:r>
    </w:p>
    <w:p w14:paraId="70B62EE7" w14:textId="3F0C975E" w:rsidR="00DB009D" w:rsidRDefault="00732C7F" w:rsidP="00C41D2B">
      <w:pPr>
        <w:spacing w:after="120"/>
      </w:pPr>
      <w:r>
        <w:rPr>
          <w:lang w:val="en-GB"/>
        </w:rPr>
        <w:t>For pre-emption indication and other group-based commands on a serving cell, similar to above, gNB can transmit the information on GCSS. UE may monitor the GCSS for the information</w:t>
      </w:r>
      <w:r w:rsidR="00760C4C">
        <w:rPr>
          <w:lang w:val="en-GB"/>
        </w:rPr>
        <w:t>.</w:t>
      </w:r>
      <w:r w:rsidR="00A04EEC">
        <w:rPr>
          <w:lang w:val="en-GB"/>
        </w:rPr>
        <w:t xml:space="preserve"> This is especially useful for SCell which may not have CSS.</w:t>
      </w:r>
    </w:p>
    <w:p w14:paraId="43F387FD" w14:textId="0B4CAAB4" w:rsidR="00B642E9" w:rsidRDefault="00B642E9" w:rsidP="00A54974">
      <w:pPr>
        <w:spacing w:after="120"/>
      </w:pPr>
    </w:p>
    <w:p w14:paraId="173D7A09" w14:textId="73DF99BB" w:rsidR="00A04EEC" w:rsidRDefault="00A04EEC" w:rsidP="00814E13">
      <w:pPr>
        <w:pStyle w:val="Caption"/>
      </w:pPr>
      <w:bookmarkStart w:id="115" w:name="_Toc494742970"/>
      <w:bookmarkStart w:id="116" w:name="_Toc494743449"/>
      <w:bookmarkStart w:id="117" w:name="_Toc494743596"/>
      <w:bookmarkStart w:id="118" w:name="_Toc494743633"/>
      <w:bookmarkStart w:id="119" w:name="_Toc494744793"/>
      <w:r>
        <w:t xml:space="preserve">Proposal </w:t>
      </w:r>
      <w:fldSimple w:instr=" SEQ Proposal \* ARABIC ">
        <w:r>
          <w:rPr>
            <w:noProof/>
          </w:rPr>
          <w:t>8</w:t>
        </w:r>
      </w:fldSimple>
      <w:r>
        <w:t>: Group-common search space can be configured within a BWP for transmission of certain type</w:t>
      </w:r>
      <w:r w:rsidR="00492A7F">
        <w:t>s</w:t>
      </w:r>
      <w:r>
        <w:t xml:space="preserve"> of </w:t>
      </w:r>
      <w:r w:rsidR="00492A7F">
        <w:t>broadcast information including RACH response and paging control, and/or group-based information</w:t>
      </w:r>
      <w:r>
        <w:t xml:space="preserve"> including </w:t>
      </w:r>
      <w:r w:rsidR="00492A7F">
        <w:t>pre-emption indication</w:t>
      </w:r>
      <w:r>
        <w:t>.</w:t>
      </w:r>
      <w:bookmarkStart w:id="120" w:name="_GoBack"/>
      <w:bookmarkEnd w:id="115"/>
      <w:bookmarkEnd w:id="116"/>
      <w:bookmarkEnd w:id="117"/>
      <w:bookmarkEnd w:id="118"/>
      <w:bookmarkEnd w:id="119"/>
      <w:bookmarkEnd w:id="120"/>
    </w:p>
    <w:p w14:paraId="0B224475" w14:textId="77777777" w:rsidR="00A04EEC" w:rsidRPr="00A54974" w:rsidRDefault="00A04EEC" w:rsidP="00A54974">
      <w:pPr>
        <w:spacing w:after="120"/>
      </w:pPr>
    </w:p>
    <w:p w14:paraId="16CFBAF1" w14:textId="7203D363" w:rsidR="00E4038C" w:rsidRDefault="00E4038C" w:rsidP="00C227E3">
      <w:pPr>
        <w:pStyle w:val="Heading1"/>
        <w:rPr>
          <w:lang w:eastAsia="zh-CN"/>
        </w:rPr>
      </w:pPr>
      <w:r w:rsidRPr="00C227E3">
        <w:t>Conclusions</w:t>
      </w:r>
    </w:p>
    <w:p w14:paraId="4A7CCD54" w14:textId="49FE158D" w:rsidR="00AF5673" w:rsidRDefault="003B4AAF" w:rsidP="00AF5673">
      <w:pPr>
        <w:spacing w:after="120"/>
      </w:pPr>
      <w:r>
        <w:t xml:space="preserve">We discussed some aspects of UE power saving and the connections to BWP, and some of the remaining issues on BWP. </w:t>
      </w:r>
      <w:r w:rsidR="007B645F">
        <w:t>The following observation and proposals have been made:</w:t>
      </w:r>
    </w:p>
    <w:p w14:paraId="66060928" w14:textId="1667E75C" w:rsidR="00686644" w:rsidRDefault="008C0027">
      <w:pPr>
        <w:pStyle w:val="TableofFigures"/>
        <w:tabs>
          <w:tab w:val="right" w:leader="dot" w:pos="9628"/>
        </w:tabs>
        <w:rPr>
          <w:rFonts w:asciiTheme="minorHAnsi" w:eastAsiaTheme="minorEastAsia" w:hAnsiTheme="minorHAnsi" w:cstheme="minorBidi"/>
          <w:noProof/>
          <w:sz w:val="22"/>
          <w:szCs w:val="22"/>
        </w:rPr>
      </w:pPr>
      <w:r>
        <w:fldChar w:fldCharType="begin"/>
      </w:r>
      <w:r>
        <w:instrText xml:space="preserve"> TOC \n \c "Observation" </w:instrText>
      </w:r>
      <w:r>
        <w:fldChar w:fldCharType="separate"/>
      </w:r>
      <w:r w:rsidR="00686644">
        <w:rPr>
          <w:noProof/>
        </w:rPr>
        <w:t xml:space="preserve">Observation 1: </w:t>
      </w:r>
      <w:r w:rsidR="00686644" w:rsidRPr="001D26B0">
        <w:rPr>
          <w:noProof/>
          <w:lang w:val="en-GB"/>
        </w:rPr>
        <w:t>Larger PDCCH monitoring periodicity reduces power consumption due to reduced duty cycle.</w:t>
      </w:r>
    </w:p>
    <w:p w14:paraId="109A27A4" w14:textId="77777777" w:rsidR="00686644" w:rsidRDefault="00686644">
      <w:pPr>
        <w:pStyle w:val="TableofFigures"/>
        <w:tabs>
          <w:tab w:val="right" w:leader="dot" w:pos="9628"/>
        </w:tabs>
        <w:rPr>
          <w:rFonts w:asciiTheme="minorHAnsi" w:eastAsiaTheme="minorEastAsia" w:hAnsiTheme="minorHAnsi" w:cstheme="minorBidi"/>
          <w:noProof/>
          <w:sz w:val="22"/>
          <w:szCs w:val="22"/>
        </w:rPr>
      </w:pPr>
      <w:r>
        <w:rPr>
          <w:noProof/>
        </w:rPr>
        <w:t xml:space="preserve">Observation 2: </w:t>
      </w:r>
      <w:r w:rsidRPr="001D26B0">
        <w:rPr>
          <w:noProof/>
          <w:lang w:val="en-GB"/>
        </w:rPr>
        <w:t>Sufficiently large k0 value allows UE modem to monitor for PDCCH with highly optimized mode or hardware, and potentially operate at fraction of the power level compared to the k0=0 case.</w:t>
      </w:r>
    </w:p>
    <w:p w14:paraId="20B9EF8D" w14:textId="1383EF5F" w:rsidR="00004DBC" w:rsidRDefault="008C0027" w:rsidP="00814E13">
      <w:pPr>
        <w:pStyle w:val="TableofFigures"/>
        <w:tabs>
          <w:tab w:val="right" w:leader="dot" w:pos="9628"/>
        </w:tabs>
      </w:pPr>
      <w:r>
        <w:fldChar w:fldCharType="end"/>
      </w:r>
    </w:p>
    <w:p w14:paraId="3EBF24E9" w14:textId="2B236E0B" w:rsidR="00C22703" w:rsidRDefault="003B4AAF">
      <w:pPr>
        <w:pStyle w:val="TableofFigures"/>
        <w:tabs>
          <w:tab w:val="right" w:leader="dot" w:pos="9628"/>
        </w:tabs>
        <w:rPr>
          <w:rFonts w:asciiTheme="minorHAnsi" w:eastAsiaTheme="minorEastAsia" w:hAnsiTheme="minorHAnsi" w:cstheme="minorBidi"/>
          <w:noProof/>
          <w:sz w:val="22"/>
          <w:szCs w:val="22"/>
        </w:rPr>
      </w:pPr>
      <w:r>
        <w:fldChar w:fldCharType="begin"/>
      </w:r>
      <w:r>
        <w:instrText xml:space="preserve"> TOC \n \c "Proposal" </w:instrText>
      </w:r>
      <w:r>
        <w:fldChar w:fldCharType="separate"/>
      </w:r>
      <w:r w:rsidR="00C22703">
        <w:rPr>
          <w:noProof/>
        </w:rPr>
        <w:t xml:space="preserve">Proposal 1: </w:t>
      </w:r>
      <w:r w:rsidR="00C22703" w:rsidRPr="002F08A4">
        <w:rPr>
          <w:noProof/>
          <w:lang w:val="en-GB"/>
        </w:rPr>
        <w:t>Semi-static configuration of k0 should be BWP-specific, and it can be configured as part of BWP configuration.</w:t>
      </w:r>
    </w:p>
    <w:p w14:paraId="45F7CEBF" w14:textId="77777777" w:rsidR="00C22703" w:rsidRDefault="00C22703">
      <w:pPr>
        <w:pStyle w:val="TableofFigures"/>
        <w:tabs>
          <w:tab w:val="right" w:leader="dot" w:pos="9628"/>
        </w:tabs>
        <w:rPr>
          <w:rFonts w:asciiTheme="minorHAnsi" w:eastAsiaTheme="minorEastAsia" w:hAnsiTheme="minorHAnsi" w:cstheme="minorBidi"/>
          <w:noProof/>
          <w:sz w:val="22"/>
          <w:szCs w:val="22"/>
        </w:rPr>
      </w:pPr>
      <w:r>
        <w:rPr>
          <w:noProof/>
        </w:rPr>
        <w:t xml:space="preserve">Proposal 2: </w:t>
      </w:r>
      <w:r w:rsidRPr="002F08A4">
        <w:rPr>
          <w:noProof/>
          <w:lang w:val="en-GB"/>
        </w:rPr>
        <w:t>Support dedicated BWP DCI for switching/activation/deactivation without scheduling</w:t>
      </w:r>
    </w:p>
    <w:p w14:paraId="4EC34689" w14:textId="77777777" w:rsidR="00C22703" w:rsidRDefault="00C22703">
      <w:pPr>
        <w:pStyle w:val="TableofFigures"/>
        <w:tabs>
          <w:tab w:val="right" w:leader="dot" w:pos="9628"/>
        </w:tabs>
        <w:rPr>
          <w:rFonts w:asciiTheme="minorHAnsi" w:eastAsiaTheme="minorEastAsia" w:hAnsiTheme="minorHAnsi" w:cstheme="minorBidi"/>
          <w:noProof/>
          <w:sz w:val="22"/>
          <w:szCs w:val="22"/>
        </w:rPr>
      </w:pPr>
      <w:r>
        <w:rPr>
          <w:noProof/>
        </w:rPr>
        <w:t xml:space="preserve">Proposal 3: </w:t>
      </w:r>
      <w:r w:rsidRPr="002F08A4">
        <w:rPr>
          <w:noProof/>
          <w:lang w:val="en-GB"/>
        </w:rPr>
        <w:t>Reuse existing DCI formats for the dedicated BWP DCI. Consider reusing the format of scheduling DCI with dummy grant.</w:t>
      </w:r>
    </w:p>
    <w:p w14:paraId="3475C4BF" w14:textId="77777777" w:rsidR="00C22703" w:rsidRDefault="00C22703">
      <w:pPr>
        <w:pStyle w:val="TableofFigures"/>
        <w:tabs>
          <w:tab w:val="right" w:leader="dot" w:pos="9628"/>
        </w:tabs>
        <w:rPr>
          <w:rFonts w:asciiTheme="minorHAnsi" w:eastAsiaTheme="minorEastAsia" w:hAnsiTheme="minorHAnsi" w:cstheme="minorBidi"/>
          <w:noProof/>
          <w:sz w:val="22"/>
          <w:szCs w:val="22"/>
        </w:rPr>
      </w:pPr>
      <w:r>
        <w:rPr>
          <w:noProof/>
        </w:rPr>
        <w:t xml:space="preserve">Proposal 4: </w:t>
      </w:r>
      <w:r w:rsidRPr="002F08A4">
        <w:rPr>
          <w:noProof/>
          <w:lang w:val="en-GB"/>
        </w:rPr>
        <w:t>For timer-based mechanism to switch from an active BWP to the default BWP, a new timer is introduced.</w:t>
      </w:r>
    </w:p>
    <w:p w14:paraId="25099819" w14:textId="77777777" w:rsidR="00C22703" w:rsidRDefault="00C22703">
      <w:pPr>
        <w:pStyle w:val="TableofFigures"/>
        <w:tabs>
          <w:tab w:val="right" w:leader="dot" w:pos="9628"/>
        </w:tabs>
        <w:rPr>
          <w:rFonts w:asciiTheme="minorHAnsi" w:eastAsiaTheme="minorEastAsia" w:hAnsiTheme="minorHAnsi" w:cstheme="minorBidi"/>
          <w:noProof/>
          <w:sz w:val="22"/>
          <w:szCs w:val="22"/>
        </w:rPr>
      </w:pPr>
      <w:r>
        <w:rPr>
          <w:noProof/>
        </w:rPr>
        <w:t xml:space="preserve">Proposal 5: </w:t>
      </w:r>
      <w:r w:rsidRPr="002F08A4">
        <w:rPr>
          <w:noProof/>
          <w:lang w:val="en-GB"/>
        </w:rPr>
        <w:t>For the triggering condition and definition of the time units for the new timer, adopt the same as the DRX inactivity timer.</w:t>
      </w:r>
    </w:p>
    <w:p w14:paraId="7C1CC035" w14:textId="77777777" w:rsidR="00C22703" w:rsidRDefault="00C22703">
      <w:pPr>
        <w:pStyle w:val="TableofFigures"/>
        <w:tabs>
          <w:tab w:val="right" w:leader="dot" w:pos="9628"/>
        </w:tabs>
        <w:rPr>
          <w:rFonts w:asciiTheme="minorHAnsi" w:eastAsiaTheme="minorEastAsia" w:hAnsiTheme="minorHAnsi" w:cstheme="minorBidi"/>
          <w:noProof/>
          <w:sz w:val="22"/>
          <w:szCs w:val="22"/>
        </w:rPr>
      </w:pPr>
      <w:r>
        <w:rPr>
          <w:noProof/>
        </w:rPr>
        <w:t xml:space="preserve">Proposal </w:t>
      </w:r>
      <w:r w:rsidRPr="002F08A4">
        <w:rPr>
          <w:noProof/>
        </w:rPr>
        <w:t>6</w:t>
      </w:r>
      <w:r>
        <w:rPr>
          <w:noProof/>
        </w:rPr>
        <w:t>: For Rel-15 Phase 1, support up to 2 BWP configurations per cell for each link direction.</w:t>
      </w:r>
    </w:p>
    <w:p w14:paraId="78CF06C6" w14:textId="2EEACB01" w:rsidR="00C22703" w:rsidRPr="00814E13" w:rsidRDefault="00C22703">
      <w:pPr>
        <w:pStyle w:val="TableofFigures"/>
        <w:tabs>
          <w:tab w:val="right" w:leader="dot" w:pos="9628"/>
        </w:tabs>
        <w:rPr>
          <w:noProof/>
        </w:rPr>
      </w:pPr>
      <w:r>
        <w:rPr>
          <w:noProof/>
        </w:rPr>
        <w:lastRenderedPageBreak/>
        <w:t>Proposal 7: For Rel-15 Phase 1, for PCell, only support the BWP configurations for a UE for which all BWP can be configured the same CORESET containing the CSS.</w:t>
      </w:r>
    </w:p>
    <w:p w14:paraId="7B7094A0" w14:textId="77777777" w:rsidR="00C22703" w:rsidRDefault="00C22703">
      <w:pPr>
        <w:pStyle w:val="TableofFigures"/>
        <w:tabs>
          <w:tab w:val="right" w:leader="dot" w:pos="9628"/>
        </w:tabs>
        <w:rPr>
          <w:rFonts w:asciiTheme="minorHAnsi" w:eastAsiaTheme="minorEastAsia" w:hAnsiTheme="minorHAnsi" w:cstheme="minorBidi"/>
          <w:noProof/>
          <w:sz w:val="22"/>
          <w:szCs w:val="22"/>
        </w:rPr>
      </w:pPr>
      <w:r>
        <w:rPr>
          <w:noProof/>
        </w:rPr>
        <w:t>Proposal 8: Group-common search space can be configured within a BWP for transmission of certain types of broadcast information including RACH response and paging control, and/or group-based information including pre-emption indication.</w:t>
      </w:r>
    </w:p>
    <w:p w14:paraId="47C405A4" w14:textId="09788714" w:rsidR="00FA5DCB" w:rsidRDefault="003B4AAF" w:rsidP="00814E13">
      <w:pPr>
        <w:pStyle w:val="TableofFigures"/>
        <w:tabs>
          <w:tab w:val="right" w:leader="dot" w:pos="9628"/>
        </w:tabs>
      </w:pPr>
      <w:r>
        <w:fldChar w:fldCharType="end"/>
      </w:r>
    </w:p>
    <w:p w14:paraId="730A85A5" w14:textId="5E40348E" w:rsidR="00C1473E" w:rsidRDefault="00BA6230" w:rsidP="00395DB2">
      <w:pPr>
        <w:pStyle w:val="Heading1"/>
      </w:pPr>
      <w:r>
        <w:t>References</w:t>
      </w:r>
    </w:p>
    <w:p w14:paraId="49A38D61" w14:textId="52D46134" w:rsidR="00A83F6F" w:rsidRDefault="00A83F6F" w:rsidP="007429CA">
      <w:pPr>
        <w:pStyle w:val="Reference"/>
        <w:keepLines w:val="0"/>
        <w:numPr>
          <w:ilvl w:val="0"/>
          <w:numId w:val="30"/>
        </w:numPr>
        <w:suppressAutoHyphens w:val="0"/>
        <w:autoSpaceDN w:val="0"/>
        <w:adjustRightInd w:val="0"/>
        <w:spacing w:before="100" w:beforeAutospacing="1" w:after="100" w:afterAutospacing="1"/>
        <w:jc w:val="both"/>
        <w:rPr>
          <w:szCs w:val="22"/>
        </w:rPr>
      </w:pPr>
      <w:bookmarkStart w:id="121" w:name="_Ref489663415"/>
      <w:bookmarkStart w:id="122" w:name="_Ref489663439"/>
      <w:r>
        <w:rPr>
          <w:szCs w:val="22"/>
        </w:rPr>
        <w:t>R1-</w:t>
      </w:r>
      <w:r w:rsidRPr="008C77E0">
        <w:rPr>
          <w:szCs w:val="22"/>
        </w:rPr>
        <w:t>1610135</w:t>
      </w:r>
      <w:r>
        <w:rPr>
          <w:szCs w:val="22"/>
        </w:rPr>
        <w:t>, “</w:t>
      </w:r>
      <w:r w:rsidRPr="008C77E0">
        <w:rPr>
          <w:szCs w:val="22"/>
        </w:rPr>
        <w:t>Evaluation of Frame Structure Design for UE Power</w:t>
      </w:r>
      <w:r>
        <w:rPr>
          <w:szCs w:val="22"/>
        </w:rPr>
        <w:t>”, RAN1#86bis, Qualcomm</w:t>
      </w:r>
      <w:bookmarkEnd w:id="121"/>
    </w:p>
    <w:p w14:paraId="1CA51DB0" w14:textId="77777777" w:rsidR="00D64D11" w:rsidRDefault="00D64D11" w:rsidP="00D64D11">
      <w:pPr>
        <w:numPr>
          <w:ilvl w:val="0"/>
          <w:numId w:val="30"/>
        </w:numPr>
        <w:spacing w:before="100" w:beforeAutospacing="1" w:after="100" w:afterAutospacing="1"/>
        <w:rPr>
          <w:szCs w:val="22"/>
        </w:rPr>
      </w:pPr>
      <w:bookmarkStart w:id="123" w:name="_Ref485406800"/>
      <w:bookmarkStart w:id="124" w:name="_Ref485345769"/>
      <w:r w:rsidRPr="00C6709F">
        <w:rPr>
          <w:szCs w:val="22"/>
        </w:rPr>
        <w:t>R1-1609556</w:t>
      </w:r>
      <w:r>
        <w:rPr>
          <w:szCs w:val="22"/>
        </w:rPr>
        <w:t>, “</w:t>
      </w:r>
      <w:r w:rsidRPr="00C6709F">
        <w:rPr>
          <w:szCs w:val="22"/>
        </w:rPr>
        <w:t>Cross-slot scheduling in NR</w:t>
      </w:r>
      <w:r>
        <w:rPr>
          <w:szCs w:val="22"/>
        </w:rPr>
        <w:t>”, RAN1#86bis, Mediatek</w:t>
      </w:r>
      <w:bookmarkEnd w:id="123"/>
    </w:p>
    <w:p w14:paraId="38A1F630" w14:textId="68272A39" w:rsidR="00D64D11" w:rsidRPr="00010DBF" w:rsidRDefault="00D64D11" w:rsidP="00814E13">
      <w:pPr>
        <w:numPr>
          <w:ilvl w:val="0"/>
          <w:numId w:val="30"/>
        </w:numPr>
        <w:spacing w:before="100" w:beforeAutospacing="1" w:after="100" w:afterAutospacing="1"/>
        <w:rPr>
          <w:szCs w:val="22"/>
        </w:rPr>
      </w:pPr>
      <w:bookmarkStart w:id="125" w:name="_Ref485406843"/>
      <w:r>
        <w:rPr>
          <w:szCs w:val="22"/>
        </w:rPr>
        <w:t>R1-1609557, “On Techniques for Enhanced UE Power Efficiency”, RAN1#86bis, Mediatek</w:t>
      </w:r>
      <w:bookmarkEnd w:id="124"/>
      <w:bookmarkEnd w:id="125"/>
    </w:p>
    <w:p w14:paraId="538E029E" w14:textId="3F3404A9" w:rsidR="007429CA" w:rsidRPr="006A444A" w:rsidRDefault="007429CA" w:rsidP="007429CA">
      <w:pPr>
        <w:pStyle w:val="Reference"/>
        <w:keepLines w:val="0"/>
        <w:numPr>
          <w:ilvl w:val="0"/>
          <w:numId w:val="30"/>
        </w:numPr>
        <w:suppressAutoHyphens w:val="0"/>
        <w:autoSpaceDN w:val="0"/>
        <w:adjustRightInd w:val="0"/>
        <w:spacing w:before="100" w:beforeAutospacing="1" w:after="100" w:afterAutospacing="1"/>
        <w:jc w:val="both"/>
        <w:rPr>
          <w:szCs w:val="22"/>
        </w:rPr>
      </w:pPr>
      <w:r>
        <w:t>Chairman’s Notes</w:t>
      </w:r>
      <w:r>
        <w:tab/>
        <w:t>3GPP TSG RAN WG1 #86bis</w:t>
      </w:r>
      <w:bookmarkEnd w:id="122"/>
    </w:p>
    <w:p w14:paraId="2865A60B" w14:textId="302448BA" w:rsidR="006A444A" w:rsidRPr="002B15CF" w:rsidRDefault="006A444A" w:rsidP="007429CA">
      <w:pPr>
        <w:pStyle w:val="Reference"/>
        <w:keepLines w:val="0"/>
        <w:numPr>
          <w:ilvl w:val="0"/>
          <w:numId w:val="30"/>
        </w:numPr>
        <w:suppressAutoHyphens w:val="0"/>
        <w:autoSpaceDN w:val="0"/>
        <w:adjustRightInd w:val="0"/>
        <w:spacing w:before="100" w:beforeAutospacing="1" w:after="100" w:afterAutospacing="1"/>
        <w:jc w:val="both"/>
        <w:rPr>
          <w:szCs w:val="22"/>
        </w:rPr>
      </w:pPr>
      <w:bookmarkStart w:id="126" w:name="_Ref494545744"/>
      <w:r w:rsidRPr="009D0841">
        <w:rPr>
          <w:szCs w:val="22"/>
        </w:rPr>
        <w:t>Chairman’s Notes</w:t>
      </w:r>
      <w:r>
        <w:tab/>
        <w:t xml:space="preserve">3GPP TSG RAN WG1 </w:t>
      </w:r>
      <w:r w:rsidRPr="00A3327A">
        <w:t>NR Ad-Hoc</w:t>
      </w:r>
      <w:r>
        <w:t xml:space="preserve"> #2, 2017</w:t>
      </w:r>
      <w:bookmarkEnd w:id="126"/>
    </w:p>
    <w:p w14:paraId="6DD34B82" w14:textId="222E4DF5" w:rsidR="007429CA" w:rsidRPr="00010DBF" w:rsidRDefault="007429CA" w:rsidP="007429CA">
      <w:pPr>
        <w:pStyle w:val="Reference"/>
        <w:keepLines w:val="0"/>
        <w:numPr>
          <w:ilvl w:val="0"/>
          <w:numId w:val="30"/>
        </w:numPr>
        <w:suppressAutoHyphens w:val="0"/>
        <w:autoSpaceDN w:val="0"/>
        <w:adjustRightInd w:val="0"/>
        <w:spacing w:before="100" w:beforeAutospacing="1" w:after="100" w:afterAutospacing="1"/>
        <w:jc w:val="both"/>
        <w:rPr>
          <w:szCs w:val="22"/>
        </w:rPr>
      </w:pPr>
      <w:bookmarkStart w:id="127" w:name="_Ref494300927"/>
      <w:r>
        <w:rPr>
          <w:szCs w:val="22"/>
        </w:rPr>
        <w:t>Chairman’s Notes</w:t>
      </w:r>
      <w:r>
        <w:tab/>
        <w:t>3GPP TSG RAN WG1 #90</w:t>
      </w:r>
      <w:bookmarkEnd w:id="127"/>
    </w:p>
    <w:p w14:paraId="657170E4" w14:textId="467C54E9" w:rsidR="00BA4C70" w:rsidRPr="00521E45" w:rsidRDefault="00BA4C70" w:rsidP="007429CA">
      <w:pPr>
        <w:pStyle w:val="Reference"/>
        <w:keepLines w:val="0"/>
        <w:numPr>
          <w:ilvl w:val="0"/>
          <w:numId w:val="30"/>
        </w:numPr>
        <w:suppressAutoHyphens w:val="0"/>
        <w:autoSpaceDN w:val="0"/>
        <w:adjustRightInd w:val="0"/>
        <w:spacing w:before="100" w:beforeAutospacing="1" w:after="100" w:afterAutospacing="1"/>
        <w:jc w:val="both"/>
        <w:rPr>
          <w:szCs w:val="22"/>
        </w:rPr>
      </w:pPr>
      <w:bookmarkStart w:id="128" w:name="_Ref494705652"/>
      <w:r>
        <w:t>User Plane Meeting Minutes, 3GPP TSG RAN WG2 #99</w:t>
      </w:r>
      <w:bookmarkEnd w:id="128"/>
    </w:p>
    <w:p w14:paraId="3AB3C838" w14:textId="4FBDAA69" w:rsidR="007429CA" w:rsidRPr="007D4940" w:rsidRDefault="007429CA" w:rsidP="007429CA">
      <w:pPr>
        <w:pStyle w:val="Reference"/>
        <w:keepLines w:val="0"/>
        <w:numPr>
          <w:ilvl w:val="0"/>
          <w:numId w:val="30"/>
        </w:numPr>
        <w:suppressAutoHyphens w:val="0"/>
        <w:autoSpaceDN w:val="0"/>
        <w:adjustRightInd w:val="0"/>
        <w:spacing w:before="100" w:beforeAutospacing="1" w:after="100" w:afterAutospacing="1"/>
        <w:jc w:val="both"/>
        <w:rPr>
          <w:szCs w:val="22"/>
        </w:rPr>
      </w:pPr>
      <w:bookmarkStart w:id="129" w:name="_Ref494300936"/>
      <w:bookmarkStart w:id="130" w:name="_Ref494542387"/>
      <w:r w:rsidRPr="009D0841">
        <w:rPr>
          <w:szCs w:val="22"/>
        </w:rPr>
        <w:t>Chairman’s Notes</w:t>
      </w:r>
      <w:r>
        <w:tab/>
        <w:t xml:space="preserve">3GPP TSG RAN WG1 </w:t>
      </w:r>
      <w:r w:rsidRPr="00A3327A">
        <w:t>NR Ad-Hoc</w:t>
      </w:r>
      <w:r>
        <w:t xml:space="preserve"> #3</w:t>
      </w:r>
      <w:bookmarkEnd w:id="129"/>
      <w:r>
        <w:t>, 2017</w:t>
      </w:r>
      <w:bookmarkEnd w:id="130"/>
    </w:p>
    <w:p w14:paraId="3A3F5909" w14:textId="77323784" w:rsidR="001661E2" w:rsidRPr="0047143A" w:rsidRDefault="001661E2" w:rsidP="00C15902">
      <w:pPr>
        <w:pStyle w:val="Reference"/>
        <w:keepLines w:val="0"/>
        <w:numPr>
          <w:ilvl w:val="0"/>
          <w:numId w:val="30"/>
        </w:numPr>
        <w:suppressAutoHyphens w:val="0"/>
        <w:autoSpaceDN w:val="0"/>
        <w:adjustRightInd w:val="0"/>
        <w:spacing w:before="100" w:beforeAutospacing="1" w:after="100" w:afterAutospacing="1"/>
        <w:jc w:val="both"/>
        <w:rPr>
          <w:szCs w:val="22"/>
        </w:rPr>
      </w:pPr>
      <w:bookmarkStart w:id="131" w:name="_Ref494577838"/>
      <w:r>
        <w:t>R1-17</w:t>
      </w:r>
      <w:r w:rsidR="00C15902" w:rsidRPr="00C15902">
        <w:t>18581</w:t>
      </w:r>
      <w:r>
        <w:t>, “Open Issues on CA”, RAN1#90bis, Qualcomm</w:t>
      </w:r>
      <w:bookmarkEnd w:id="131"/>
    </w:p>
    <w:p w14:paraId="13FAAD42" w14:textId="20E2EEBB" w:rsidR="00BA6230" w:rsidRPr="00395DB2" w:rsidRDefault="007429CA" w:rsidP="002B15CF">
      <w:r w:rsidRPr="002B15CF" w:rsidDel="007429CA">
        <w:t xml:space="preserve"> </w:t>
      </w:r>
    </w:p>
    <w:sectPr w:rsidR="00BA6230" w:rsidRPr="00395DB2" w:rsidSect="008331BB">
      <w:headerReference w:type="even" r:id="rId21"/>
      <w:footerReference w:type="even" r:id="rId22"/>
      <w:footerReference w:type="default" r:id="rId23"/>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64158" w14:textId="77777777" w:rsidR="00744E5D" w:rsidRDefault="00744E5D">
      <w:r>
        <w:separator/>
      </w:r>
    </w:p>
  </w:endnote>
  <w:endnote w:type="continuationSeparator" w:id="0">
    <w:p w14:paraId="04206004" w14:textId="77777777" w:rsidR="00744E5D" w:rsidRDefault="00744E5D">
      <w:r>
        <w:continuationSeparator/>
      </w:r>
    </w:p>
  </w:endnote>
  <w:endnote w:type="continuationNotice" w:id="1">
    <w:p w14:paraId="2EBD7F6F" w14:textId="77777777" w:rsidR="00744E5D" w:rsidRDefault="00744E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0E5C46" w:rsidRDefault="000E5C4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0E5C46" w:rsidRDefault="000E5C4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0F67D0E5" w:rsidR="000E5C46" w:rsidRDefault="000E5C4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14E1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14E13">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5BA76" w14:textId="77777777" w:rsidR="00744E5D" w:rsidRDefault="00744E5D">
      <w:r>
        <w:separator/>
      </w:r>
    </w:p>
  </w:footnote>
  <w:footnote w:type="continuationSeparator" w:id="0">
    <w:p w14:paraId="5042B21D" w14:textId="77777777" w:rsidR="00744E5D" w:rsidRDefault="00744E5D">
      <w:r>
        <w:continuationSeparator/>
      </w:r>
    </w:p>
  </w:footnote>
  <w:footnote w:type="continuationNotice" w:id="1">
    <w:p w14:paraId="0C380FF1" w14:textId="77777777" w:rsidR="00744E5D" w:rsidRDefault="00744E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0E5C46" w:rsidRDefault="000E5C4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3" type="#_x0000_t75" style="width:15.95pt;height:15.95pt" o:bullet="t">
        <v:imagedata r:id="rId1" o:title="art4585"/>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37393"/>
    <w:multiLevelType w:val="hybridMultilevel"/>
    <w:tmpl w:val="487C1D66"/>
    <w:lvl w:ilvl="0" w:tplc="77EC3E24">
      <w:start w:val="1"/>
      <w:numFmt w:val="decimal"/>
      <w:lvlText w:val="[%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F836F8"/>
    <w:multiLevelType w:val="hybridMultilevel"/>
    <w:tmpl w:val="0626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6D177E"/>
    <w:multiLevelType w:val="hybridMultilevel"/>
    <w:tmpl w:val="C7E41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0472AD"/>
    <w:multiLevelType w:val="hybridMultilevel"/>
    <w:tmpl w:val="55FAD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2585BDE"/>
    <w:multiLevelType w:val="hybridMultilevel"/>
    <w:tmpl w:val="14F089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8B8098A"/>
    <w:multiLevelType w:val="hybridMultilevel"/>
    <w:tmpl w:val="5A666B78"/>
    <w:lvl w:ilvl="0" w:tplc="4C048E06">
      <w:start w:val="1"/>
      <w:numFmt w:val="bullet"/>
      <w:lvlText w:val="•"/>
      <w:lvlJc w:val="left"/>
      <w:pPr>
        <w:tabs>
          <w:tab w:val="num" w:pos="720"/>
        </w:tabs>
        <w:ind w:left="720" w:hanging="360"/>
      </w:pPr>
      <w:rPr>
        <w:rFonts w:ascii="Arial" w:hAnsi="Arial" w:cs="Times New Roman" w:hint="default"/>
      </w:rPr>
    </w:lvl>
    <w:lvl w:ilvl="1" w:tplc="FD74FA7A">
      <w:start w:val="1238"/>
      <w:numFmt w:val="bullet"/>
      <w:lvlText w:val="•"/>
      <w:lvlJc w:val="left"/>
      <w:pPr>
        <w:tabs>
          <w:tab w:val="num" w:pos="1440"/>
        </w:tabs>
        <w:ind w:left="1440" w:hanging="360"/>
      </w:pPr>
      <w:rPr>
        <w:rFonts w:ascii="Arial" w:hAnsi="Arial" w:cs="Times New Roman" w:hint="default"/>
      </w:rPr>
    </w:lvl>
    <w:lvl w:ilvl="2" w:tplc="D56ACFFE">
      <w:start w:val="1238"/>
      <w:numFmt w:val="bullet"/>
      <w:lvlText w:val="•"/>
      <w:lvlJc w:val="left"/>
      <w:pPr>
        <w:tabs>
          <w:tab w:val="num" w:pos="2160"/>
        </w:tabs>
        <w:ind w:left="2160" w:hanging="360"/>
      </w:pPr>
      <w:rPr>
        <w:rFonts w:ascii="Arial" w:hAnsi="Arial" w:cs="Times New Roman" w:hint="default"/>
      </w:rPr>
    </w:lvl>
    <w:lvl w:ilvl="3" w:tplc="CA0CAEB4">
      <w:start w:val="1"/>
      <w:numFmt w:val="bullet"/>
      <w:lvlText w:val="•"/>
      <w:lvlJc w:val="left"/>
      <w:pPr>
        <w:tabs>
          <w:tab w:val="num" w:pos="2880"/>
        </w:tabs>
        <w:ind w:left="2880" w:hanging="360"/>
      </w:pPr>
      <w:rPr>
        <w:rFonts w:ascii="Arial" w:hAnsi="Arial" w:cs="Times New Roman" w:hint="default"/>
      </w:rPr>
    </w:lvl>
    <w:lvl w:ilvl="4" w:tplc="D3F619EC">
      <w:start w:val="1"/>
      <w:numFmt w:val="bullet"/>
      <w:lvlText w:val="•"/>
      <w:lvlJc w:val="left"/>
      <w:pPr>
        <w:tabs>
          <w:tab w:val="num" w:pos="3600"/>
        </w:tabs>
        <w:ind w:left="3600" w:hanging="360"/>
      </w:pPr>
      <w:rPr>
        <w:rFonts w:ascii="Arial" w:hAnsi="Arial" w:cs="Times New Roman" w:hint="default"/>
      </w:rPr>
    </w:lvl>
    <w:lvl w:ilvl="5" w:tplc="E3A82CE6">
      <w:start w:val="1"/>
      <w:numFmt w:val="bullet"/>
      <w:lvlText w:val="•"/>
      <w:lvlJc w:val="left"/>
      <w:pPr>
        <w:tabs>
          <w:tab w:val="num" w:pos="4320"/>
        </w:tabs>
        <w:ind w:left="4320" w:hanging="360"/>
      </w:pPr>
      <w:rPr>
        <w:rFonts w:ascii="Arial" w:hAnsi="Arial" w:cs="Times New Roman" w:hint="default"/>
      </w:rPr>
    </w:lvl>
    <w:lvl w:ilvl="6" w:tplc="C50E5746">
      <w:start w:val="1"/>
      <w:numFmt w:val="bullet"/>
      <w:lvlText w:val="•"/>
      <w:lvlJc w:val="left"/>
      <w:pPr>
        <w:tabs>
          <w:tab w:val="num" w:pos="5040"/>
        </w:tabs>
        <w:ind w:left="5040" w:hanging="360"/>
      </w:pPr>
      <w:rPr>
        <w:rFonts w:ascii="Arial" w:hAnsi="Arial" w:cs="Times New Roman" w:hint="default"/>
      </w:rPr>
    </w:lvl>
    <w:lvl w:ilvl="7" w:tplc="A45270D0">
      <w:start w:val="1"/>
      <w:numFmt w:val="bullet"/>
      <w:lvlText w:val="•"/>
      <w:lvlJc w:val="left"/>
      <w:pPr>
        <w:tabs>
          <w:tab w:val="num" w:pos="5760"/>
        </w:tabs>
        <w:ind w:left="5760" w:hanging="360"/>
      </w:pPr>
      <w:rPr>
        <w:rFonts w:ascii="Arial" w:hAnsi="Arial" w:cs="Times New Roman" w:hint="default"/>
      </w:rPr>
    </w:lvl>
    <w:lvl w:ilvl="8" w:tplc="7A9AE03C">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F15101B"/>
    <w:multiLevelType w:val="hybridMultilevel"/>
    <w:tmpl w:val="341EACFA"/>
    <w:lvl w:ilvl="0" w:tplc="A634B9E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1B06DF"/>
    <w:multiLevelType w:val="hybridMultilevel"/>
    <w:tmpl w:val="1EFE45AA"/>
    <w:lvl w:ilvl="0" w:tplc="BFD49E02">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5A46CC"/>
    <w:multiLevelType w:val="hybridMultilevel"/>
    <w:tmpl w:val="5EAECF7C"/>
    <w:lvl w:ilvl="0" w:tplc="CAFA5E12">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D5302F"/>
    <w:multiLevelType w:val="hybridMultilevel"/>
    <w:tmpl w:val="53C29F32"/>
    <w:lvl w:ilvl="0" w:tplc="BEDCA22A">
      <w:start w:val="1"/>
      <w:numFmt w:val="bullet"/>
      <w:lvlText w:val="•"/>
      <w:lvlJc w:val="left"/>
      <w:pPr>
        <w:tabs>
          <w:tab w:val="num" w:pos="360"/>
        </w:tabs>
        <w:ind w:left="360" w:hanging="360"/>
      </w:pPr>
      <w:rPr>
        <w:rFonts w:ascii="Arial" w:hAnsi="Arial" w:hint="default"/>
      </w:rPr>
    </w:lvl>
    <w:lvl w:ilvl="1" w:tplc="D72E7896">
      <w:numFmt w:val="bullet"/>
      <w:lvlText w:val="–"/>
      <w:lvlJc w:val="left"/>
      <w:pPr>
        <w:tabs>
          <w:tab w:val="num" w:pos="1080"/>
        </w:tabs>
        <w:ind w:left="1080" w:hanging="360"/>
      </w:pPr>
      <w:rPr>
        <w:rFonts w:ascii="Arial" w:hAnsi="Arial" w:hint="default"/>
      </w:rPr>
    </w:lvl>
    <w:lvl w:ilvl="2" w:tplc="99FABAC0">
      <w:start w:val="1"/>
      <w:numFmt w:val="bullet"/>
      <w:lvlText w:val="•"/>
      <w:lvlJc w:val="left"/>
      <w:pPr>
        <w:tabs>
          <w:tab w:val="num" w:pos="1800"/>
        </w:tabs>
        <w:ind w:left="1800" w:hanging="360"/>
      </w:pPr>
      <w:rPr>
        <w:rFonts w:ascii="Arial" w:hAnsi="Arial" w:hint="default"/>
      </w:rPr>
    </w:lvl>
    <w:lvl w:ilvl="3" w:tplc="EA0664EC" w:tentative="1">
      <w:start w:val="1"/>
      <w:numFmt w:val="bullet"/>
      <w:lvlText w:val="•"/>
      <w:lvlJc w:val="left"/>
      <w:pPr>
        <w:tabs>
          <w:tab w:val="num" w:pos="2520"/>
        </w:tabs>
        <w:ind w:left="2520" w:hanging="360"/>
      </w:pPr>
      <w:rPr>
        <w:rFonts w:ascii="Arial" w:hAnsi="Arial" w:hint="default"/>
      </w:rPr>
    </w:lvl>
    <w:lvl w:ilvl="4" w:tplc="0CBCF4B8" w:tentative="1">
      <w:start w:val="1"/>
      <w:numFmt w:val="bullet"/>
      <w:lvlText w:val="•"/>
      <w:lvlJc w:val="left"/>
      <w:pPr>
        <w:tabs>
          <w:tab w:val="num" w:pos="3240"/>
        </w:tabs>
        <w:ind w:left="3240" w:hanging="360"/>
      </w:pPr>
      <w:rPr>
        <w:rFonts w:ascii="Arial" w:hAnsi="Arial" w:hint="default"/>
      </w:rPr>
    </w:lvl>
    <w:lvl w:ilvl="5" w:tplc="BACEFE74" w:tentative="1">
      <w:start w:val="1"/>
      <w:numFmt w:val="bullet"/>
      <w:lvlText w:val="•"/>
      <w:lvlJc w:val="left"/>
      <w:pPr>
        <w:tabs>
          <w:tab w:val="num" w:pos="3960"/>
        </w:tabs>
        <w:ind w:left="3960" w:hanging="360"/>
      </w:pPr>
      <w:rPr>
        <w:rFonts w:ascii="Arial" w:hAnsi="Arial" w:hint="default"/>
      </w:rPr>
    </w:lvl>
    <w:lvl w:ilvl="6" w:tplc="5AE8F5F0" w:tentative="1">
      <w:start w:val="1"/>
      <w:numFmt w:val="bullet"/>
      <w:lvlText w:val="•"/>
      <w:lvlJc w:val="left"/>
      <w:pPr>
        <w:tabs>
          <w:tab w:val="num" w:pos="4680"/>
        </w:tabs>
        <w:ind w:left="4680" w:hanging="360"/>
      </w:pPr>
      <w:rPr>
        <w:rFonts w:ascii="Arial" w:hAnsi="Arial" w:hint="default"/>
      </w:rPr>
    </w:lvl>
    <w:lvl w:ilvl="7" w:tplc="AB043FF6" w:tentative="1">
      <w:start w:val="1"/>
      <w:numFmt w:val="bullet"/>
      <w:lvlText w:val="•"/>
      <w:lvlJc w:val="left"/>
      <w:pPr>
        <w:tabs>
          <w:tab w:val="num" w:pos="5400"/>
        </w:tabs>
        <w:ind w:left="5400" w:hanging="360"/>
      </w:pPr>
      <w:rPr>
        <w:rFonts w:ascii="Arial" w:hAnsi="Arial" w:hint="default"/>
      </w:rPr>
    </w:lvl>
    <w:lvl w:ilvl="8" w:tplc="14882D3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1B6999"/>
    <w:multiLevelType w:val="hybridMultilevel"/>
    <w:tmpl w:val="C7CC8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7B0643"/>
    <w:multiLevelType w:val="hybridMultilevel"/>
    <w:tmpl w:val="E8688466"/>
    <w:lvl w:ilvl="0" w:tplc="77EC3E24">
      <w:start w:val="1"/>
      <w:numFmt w:val="decimal"/>
      <w:lvlText w:val="[%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3E08EC"/>
    <w:multiLevelType w:val="hybridMultilevel"/>
    <w:tmpl w:val="0234C0C6"/>
    <w:lvl w:ilvl="0" w:tplc="1ABE4A3C">
      <w:start w:val="1"/>
      <w:numFmt w:val="bullet"/>
      <w:lvlText w:val="•"/>
      <w:lvlJc w:val="left"/>
      <w:pPr>
        <w:tabs>
          <w:tab w:val="num" w:pos="360"/>
        </w:tabs>
        <w:ind w:left="360" w:hanging="360"/>
      </w:pPr>
      <w:rPr>
        <w:rFonts w:ascii="Arial" w:hAnsi="Arial" w:hint="default"/>
      </w:rPr>
    </w:lvl>
    <w:lvl w:ilvl="1" w:tplc="32FE852A">
      <w:numFmt w:val="bullet"/>
      <w:lvlText w:val="–"/>
      <w:lvlJc w:val="left"/>
      <w:pPr>
        <w:tabs>
          <w:tab w:val="num" w:pos="1080"/>
        </w:tabs>
        <w:ind w:left="1080" w:hanging="360"/>
      </w:pPr>
      <w:rPr>
        <w:rFonts w:ascii="Arial" w:hAnsi="Arial" w:hint="default"/>
      </w:rPr>
    </w:lvl>
    <w:lvl w:ilvl="2" w:tplc="0544788E">
      <w:numFmt w:val="bullet"/>
      <w:lvlText w:val="•"/>
      <w:lvlJc w:val="left"/>
      <w:pPr>
        <w:tabs>
          <w:tab w:val="num" w:pos="1800"/>
        </w:tabs>
        <w:ind w:left="1800" w:hanging="360"/>
      </w:pPr>
      <w:rPr>
        <w:rFonts w:ascii="Arial" w:hAnsi="Arial" w:hint="default"/>
      </w:rPr>
    </w:lvl>
    <w:lvl w:ilvl="3" w:tplc="8498434E" w:tentative="1">
      <w:start w:val="1"/>
      <w:numFmt w:val="bullet"/>
      <w:lvlText w:val="•"/>
      <w:lvlJc w:val="left"/>
      <w:pPr>
        <w:tabs>
          <w:tab w:val="num" w:pos="2520"/>
        </w:tabs>
        <w:ind w:left="2520" w:hanging="360"/>
      </w:pPr>
      <w:rPr>
        <w:rFonts w:ascii="Arial" w:hAnsi="Arial" w:hint="default"/>
      </w:rPr>
    </w:lvl>
    <w:lvl w:ilvl="4" w:tplc="9DA09784" w:tentative="1">
      <w:start w:val="1"/>
      <w:numFmt w:val="bullet"/>
      <w:lvlText w:val="•"/>
      <w:lvlJc w:val="left"/>
      <w:pPr>
        <w:tabs>
          <w:tab w:val="num" w:pos="3240"/>
        </w:tabs>
        <w:ind w:left="3240" w:hanging="360"/>
      </w:pPr>
      <w:rPr>
        <w:rFonts w:ascii="Arial" w:hAnsi="Arial" w:hint="default"/>
      </w:rPr>
    </w:lvl>
    <w:lvl w:ilvl="5" w:tplc="4EFEECB6" w:tentative="1">
      <w:start w:val="1"/>
      <w:numFmt w:val="bullet"/>
      <w:lvlText w:val="•"/>
      <w:lvlJc w:val="left"/>
      <w:pPr>
        <w:tabs>
          <w:tab w:val="num" w:pos="3960"/>
        </w:tabs>
        <w:ind w:left="3960" w:hanging="360"/>
      </w:pPr>
      <w:rPr>
        <w:rFonts w:ascii="Arial" w:hAnsi="Arial" w:hint="default"/>
      </w:rPr>
    </w:lvl>
    <w:lvl w:ilvl="6" w:tplc="A5F099C8" w:tentative="1">
      <w:start w:val="1"/>
      <w:numFmt w:val="bullet"/>
      <w:lvlText w:val="•"/>
      <w:lvlJc w:val="left"/>
      <w:pPr>
        <w:tabs>
          <w:tab w:val="num" w:pos="4680"/>
        </w:tabs>
        <w:ind w:left="4680" w:hanging="360"/>
      </w:pPr>
      <w:rPr>
        <w:rFonts w:ascii="Arial" w:hAnsi="Arial" w:hint="default"/>
      </w:rPr>
    </w:lvl>
    <w:lvl w:ilvl="7" w:tplc="0D2A6C7E" w:tentative="1">
      <w:start w:val="1"/>
      <w:numFmt w:val="bullet"/>
      <w:lvlText w:val="•"/>
      <w:lvlJc w:val="left"/>
      <w:pPr>
        <w:tabs>
          <w:tab w:val="num" w:pos="5400"/>
        </w:tabs>
        <w:ind w:left="5400" w:hanging="360"/>
      </w:pPr>
      <w:rPr>
        <w:rFonts w:ascii="Arial" w:hAnsi="Arial" w:hint="default"/>
      </w:rPr>
    </w:lvl>
    <w:lvl w:ilvl="8" w:tplc="ACB650A0"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F92B60"/>
    <w:multiLevelType w:val="hybridMultilevel"/>
    <w:tmpl w:val="7DBAE566"/>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6" w15:restartNumberingAfterBreak="0">
    <w:nsid w:val="33B200D7"/>
    <w:multiLevelType w:val="hybridMultilevel"/>
    <w:tmpl w:val="53CAB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40E482F"/>
    <w:multiLevelType w:val="hybridMultilevel"/>
    <w:tmpl w:val="0E1CBC56"/>
    <w:lvl w:ilvl="0" w:tplc="E6AC08EA">
      <w:start w:val="1"/>
      <w:numFmt w:val="bullet"/>
      <w:lvlText w:val="•"/>
      <w:lvlJc w:val="left"/>
      <w:pPr>
        <w:tabs>
          <w:tab w:val="num" w:pos="720"/>
        </w:tabs>
        <w:ind w:left="720" w:hanging="360"/>
      </w:pPr>
      <w:rPr>
        <w:rFonts w:ascii="Arial" w:hAnsi="Arial" w:hint="default"/>
      </w:rPr>
    </w:lvl>
    <w:lvl w:ilvl="1" w:tplc="56F8BABE">
      <w:numFmt w:val="bullet"/>
      <w:lvlText w:val="•"/>
      <w:lvlJc w:val="left"/>
      <w:pPr>
        <w:tabs>
          <w:tab w:val="num" w:pos="1440"/>
        </w:tabs>
        <w:ind w:left="1440" w:hanging="360"/>
      </w:pPr>
      <w:rPr>
        <w:rFonts w:ascii="Arial" w:hAnsi="Arial" w:hint="default"/>
      </w:rPr>
    </w:lvl>
    <w:lvl w:ilvl="2" w:tplc="AFC831E4">
      <w:numFmt w:val="bullet"/>
      <w:lvlText w:val="•"/>
      <w:lvlJc w:val="left"/>
      <w:pPr>
        <w:tabs>
          <w:tab w:val="num" w:pos="2160"/>
        </w:tabs>
        <w:ind w:left="2160" w:hanging="360"/>
      </w:pPr>
      <w:rPr>
        <w:rFonts w:ascii="Arial" w:hAnsi="Arial" w:hint="default"/>
      </w:rPr>
    </w:lvl>
    <w:lvl w:ilvl="3" w:tplc="4838F70A">
      <w:numFmt w:val="bullet"/>
      <w:lvlText w:val="•"/>
      <w:lvlJc w:val="left"/>
      <w:pPr>
        <w:tabs>
          <w:tab w:val="num" w:pos="2880"/>
        </w:tabs>
        <w:ind w:left="2880" w:hanging="360"/>
      </w:pPr>
      <w:rPr>
        <w:rFonts w:ascii="Arial" w:hAnsi="Arial" w:hint="default"/>
      </w:rPr>
    </w:lvl>
    <w:lvl w:ilvl="4" w:tplc="E062AB68" w:tentative="1">
      <w:start w:val="1"/>
      <w:numFmt w:val="bullet"/>
      <w:lvlText w:val="•"/>
      <w:lvlJc w:val="left"/>
      <w:pPr>
        <w:tabs>
          <w:tab w:val="num" w:pos="3600"/>
        </w:tabs>
        <w:ind w:left="3600" w:hanging="360"/>
      </w:pPr>
      <w:rPr>
        <w:rFonts w:ascii="Arial" w:hAnsi="Arial" w:hint="default"/>
      </w:rPr>
    </w:lvl>
    <w:lvl w:ilvl="5" w:tplc="2E1AEBEE" w:tentative="1">
      <w:start w:val="1"/>
      <w:numFmt w:val="bullet"/>
      <w:lvlText w:val="•"/>
      <w:lvlJc w:val="left"/>
      <w:pPr>
        <w:tabs>
          <w:tab w:val="num" w:pos="4320"/>
        </w:tabs>
        <w:ind w:left="4320" w:hanging="360"/>
      </w:pPr>
      <w:rPr>
        <w:rFonts w:ascii="Arial" w:hAnsi="Arial" w:hint="default"/>
      </w:rPr>
    </w:lvl>
    <w:lvl w:ilvl="6" w:tplc="A3B85062" w:tentative="1">
      <w:start w:val="1"/>
      <w:numFmt w:val="bullet"/>
      <w:lvlText w:val="•"/>
      <w:lvlJc w:val="left"/>
      <w:pPr>
        <w:tabs>
          <w:tab w:val="num" w:pos="5040"/>
        </w:tabs>
        <w:ind w:left="5040" w:hanging="360"/>
      </w:pPr>
      <w:rPr>
        <w:rFonts w:ascii="Arial" w:hAnsi="Arial" w:hint="default"/>
      </w:rPr>
    </w:lvl>
    <w:lvl w:ilvl="7" w:tplc="45C4F040" w:tentative="1">
      <w:start w:val="1"/>
      <w:numFmt w:val="bullet"/>
      <w:lvlText w:val="•"/>
      <w:lvlJc w:val="left"/>
      <w:pPr>
        <w:tabs>
          <w:tab w:val="num" w:pos="5760"/>
        </w:tabs>
        <w:ind w:left="5760" w:hanging="360"/>
      </w:pPr>
      <w:rPr>
        <w:rFonts w:ascii="Arial" w:hAnsi="Arial" w:hint="default"/>
      </w:rPr>
    </w:lvl>
    <w:lvl w:ilvl="8" w:tplc="7620342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9F47869"/>
    <w:multiLevelType w:val="hybridMultilevel"/>
    <w:tmpl w:val="2FC271B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9"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B1668B9"/>
    <w:multiLevelType w:val="hybridMultilevel"/>
    <w:tmpl w:val="987C4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1E2CEA"/>
    <w:multiLevelType w:val="hybridMultilevel"/>
    <w:tmpl w:val="6D0E2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E318FB"/>
    <w:multiLevelType w:val="hybridMultilevel"/>
    <w:tmpl w:val="22AEC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3D439A"/>
    <w:multiLevelType w:val="hybridMultilevel"/>
    <w:tmpl w:val="2CB0C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A9B2929C">
      <w:start w:val="4"/>
      <w:numFmt w:val="bullet"/>
      <w:lvlText w:val="-"/>
      <w:lvlJc w:val="left"/>
      <w:pPr>
        <w:ind w:left="3600" w:hanging="360"/>
      </w:pPr>
      <w:rPr>
        <w:rFonts w:ascii="Times New Roman" w:eastAsia="SimSu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4136BE"/>
    <w:multiLevelType w:val="hybridMultilevel"/>
    <w:tmpl w:val="7FF6A2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0404992"/>
    <w:multiLevelType w:val="hybridMultilevel"/>
    <w:tmpl w:val="5DCE2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C60902"/>
    <w:multiLevelType w:val="hybridMultilevel"/>
    <w:tmpl w:val="AF527F24"/>
    <w:lvl w:ilvl="0" w:tplc="77EC3E24">
      <w:start w:val="1"/>
      <w:numFmt w:val="decimal"/>
      <w:lvlText w:val="[%1]"/>
      <w:lvlJc w:val="left"/>
      <w:pPr>
        <w:ind w:left="720" w:hanging="360"/>
      </w:pPr>
      <w:rPr>
        <w:rFonts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8B5948"/>
    <w:multiLevelType w:val="hybridMultilevel"/>
    <w:tmpl w:val="09AEC92C"/>
    <w:lvl w:ilvl="0" w:tplc="17EAEB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34359F"/>
    <w:multiLevelType w:val="hybridMultilevel"/>
    <w:tmpl w:val="A538C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E3C326A"/>
    <w:multiLevelType w:val="hybridMultilevel"/>
    <w:tmpl w:val="95405F60"/>
    <w:lvl w:ilvl="0" w:tplc="77EC3E24">
      <w:start w:val="1"/>
      <w:numFmt w:val="decimal"/>
      <w:lvlText w:val="[%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cs="Times New Roman" w:hint="default"/>
      </w:rPr>
    </w:lvl>
    <w:lvl w:ilvl="1" w:tplc="53902F1C">
      <w:start w:val="2820"/>
      <w:numFmt w:val="bullet"/>
      <w:lvlText w:val="–"/>
      <w:lvlJc w:val="left"/>
      <w:pPr>
        <w:tabs>
          <w:tab w:val="num" w:pos="1440"/>
        </w:tabs>
        <w:ind w:left="1440" w:hanging="360"/>
      </w:pPr>
      <w:rPr>
        <w:rFonts w:ascii="Arial" w:hAnsi="Arial" w:cs="Times New Roman" w:hint="default"/>
      </w:rPr>
    </w:lvl>
    <w:lvl w:ilvl="2" w:tplc="A4722C5A">
      <w:start w:val="2820"/>
      <w:numFmt w:val="bullet"/>
      <w:lvlText w:val="•"/>
      <w:lvlJc w:val="left"/>
      <w:pPr>
        <w:tabs>
          <w:tab w:val="num" w:pos="2160"/>
        </w:tabs>
        <w:ind w:left="2160" w:hanging="360"/>
      </w:pPr>
      <w:rPr>
        <w:rFonts w:ascii="Arial" w:hAnsi="Arial" w:cs="Times New Roman" w:hint="default"/>
      </w:rPr>
    </w:lvl>
    <w:lvl w:ilvl="3" w:tplc="FC948564">
      <w:start w:val="1"/>
      <w:numFmt w:val="bullet"/>
      <w:lvlText w:val="•"/>
      <w:lvlJc w:val="left"/>
      <w:pPr>
        <w:tabs>
          <w:tab w:val="num" w:pos="2880"/>
        </w:tabs>
        <w:ind w:left="2880" w:hanging="360"/>
      </w:pPr>
      <w:rPr>
        <w:rFonts w:ascii="Arial" w:hAnsi="Arial" w:cs="Times New Roman" w:hint="default"/>
      </w:rPr>
    </w:lvl>
    <w:lvl w:ilvl="4" w:tplc="D8F48116">
      <w:start w:val="1"/>
      <w:numFmt w:val="bullet"/>
      <w:lvlText w:val="•"/>
      <w:lvlJc w:val="left"/>
      <w:pPr>
        <w:tabs>
          <w:tab w:val="num" w:pos="3600"/>
        </w:tabs>
        <w:ind w:left="3600" w:hanging="360"/>
      </w:pPr>
      <w:rPr>
        <w:rFonts w:ascii="Arial" w:hAnsi="Arial" w:cs="Times New Roman" w:hint="default"/>
      </w:rPr>
    </w:lvl>
    <w:lvl w:ilvl="5" w:tplc="B748F622">
      <w:start w:val="1"/>
      <w:numFmt w:val="bullet"/>
      <w:lvlText w:val="•"/>
      <w:lvlJc w:val="left"/>
      <w:pPr>
        <w:tabs>
          <w:tab w:val="num" w:pos="4320"/>
        </w:tabs>
        <w:ind w:left="4320" w:hanging="360"/>
      </w:pPr>
      <w:rPr>
        <w:rFonts w:ascii="Arial" w:hAnsi="Arial" w:cs="Times New Roman" w:hint="default"/>
      </w:rPr>
    </w:lvl>
    <w:lvl w:ilvl="6" w:tplc="FE0A57A6">
      <w:start w:val="1"/>
      <w:numFmt w:val="bullet"/>
      <w:lvlText w:val="•"/>
      <w:lvlJc w:val="left"/>
      <w:pPr>
        <w:tabs>
          <w:tab w:val="num" w:pos="5040"/>
        </w:tabs>
        <w:ind w:left="5040" w:hanging="360"/>
      </w:pPr>
      <w:rPr>
        <w:rFonts w:ascii="Arial" w:hAnsi="Arial" w:cs="Times New Roman" w:hint="default"/>
      </w:rPr>
    </w:lvl>
    <w:lvl w:ilvl="7" w:tplc="FC4EC64E">
      <w:start w:val="1"/>
      <w:numFmt w:val="bullet"/>
      <w:lvlText w:val="•"/>
      <w:lvlJc w:val="left"/>
      <w:pPr>
        <w:tabs>
          <w:tab w:val="num" w:pos="5760"/>
        </w:tabs>
        <w:ind w:left="5760" w:hanging="360"/>
      </w:pPr>
      <w:rPr>
        <w:rFonts w:ascii="Arial" w:hAnsi="Arial" w:cs="Times New Roman" w:hint="default"/>
      </w:rPr>
    </w:lvl>
    <w:lvl w:ilvl="8" w:tplc="4FE0BF9E">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797A1EF7"/>
    <w:multiLevelType w:val="hybridMultilevel"/>
    <w:tmpl w:val="601C89C0"/>
    <w:lvl w:ilvl="0" w:tplc="127688B0">
      <w:start w:val="1"/>
      <w:numFmt w:val="bullet"/>
      <w:lvlText w:val="•"/>
      <w:lvlJc w:val="left"/>
      <w:pPr>
        <w:tabs>
          <w:tab w:val="num" w:pos="720"/>
        </w:tabs>
        <w:ind w:left="720" w:hanging="360"/>
      </w:pPr>
      <w:rPr>
        <w:rFonts w:ascii="Arial" w:hAnsi="Arial" w:cs="Times New Roman" w:hint="default"/>
      </w:rPr>
    </w:lvl>
    <w:lvl w:ilvl="1" w:tplc="2740252A">
      <w:start w:val="242"/>
      <w:numFmt w:val="bullet"/>
      <w:lvlText w:val="•"/>
      <w:lvlJc w:val="left"/>
      <w:pPr>
        <w:tabs>
          <w:tab w:val="num" w:pos="1440"/>
        </w:tabs>
        <w:ind w:left="1440" w:hanging="360"/>
      </w:pPr>
      <w:rPr>
        <w:rFonts w:ascii="Arial" w:hAnsi="Arial" w:cs="Times New Roman" w:hint="default"/>
      </w:rPr>
    </w:lvl>
    <w:lvl w:ilvl="2" w:tplc="3D7E9FE2">
      <w:start w:val="242"/>
      <w:numFmt w:val="bullet"/>
      <w:lvlText w:val="•"/>
      <w:lvlJc w:val="left"/>
      <w:pPr>
        <w:tabs>
          <w:tab w:val="num" w:pos="2160"/>
        </w:tabs>
        <w:ind w:left="2160" w:hanging="360"/>
      </w:pPr>
      <w:rPr>
        <w:rFonts w:ascii="Arial" w:hAnsi="Arial" w:cs="Times New Roman" w:hint="default"/>
      </w:rPr>
    </w:lvl>
    <w:lvl w:ilvl="3" w:tplc="3D206D28">
      <w:start w:val="242"/>
      <w:numFmt w:val="bullet"/>
      <w:lvlText w:val="•"/>
      <w:lvlJc w:val="left"/>
      <w:pPr>
        <w:tabs>
          <w:tab w:val="num" w:pos="2880"/>
        </w:tabs>
        <w:ind w:left="2880" w:hanging="360"/>
      </w:pPr>
      <w:rPr>
        <w:rFonts w:ascii="Arial" w:hAnsi="Arial" w:cs="Times New Roman" w:hint="default"/>
      </w:rPr>
    </w:lvl>
    <w:lvl w:ilvl="4" w:tplc="301AA90C">
      <w:start w:val="1"/>
      <w:numFmt w:val="bullet"/>
      <w:lvlText w:val="•"/>
      <w:lvlJc w:val="left"/>
      <w:pPr>
        <w:tabs>
          <w:tab w:val="num" w:pos="3600"/>
        </w:tabs>
        <w:ind w:left="3600" w:hanging="360"/>
      </w:pPr>
      <w:rPr>
        <w:rFonts w:ascii="Arial" w:hAnsi="Arial" w:cs="Times New Roman" w:hint="default"/>
      </w:rPr>
    </w:lvl>
    <w:lvl w:ilvl="5" w:tplc="A1523C68">
      <w:start w:val="1"/>
      <w:numFmt w:val="bullet"/>
      <w:lvlText w:val="•"/>
      <w:lvlJc w:val="left"/>
      <w:pPr>
        <w:tabs>
          <w:tab w:val="num" w:pos="4320"/>
        </w:tabs>
        <w:ind w:left="4320" w:hanging="360"/>
      </w:pPr>
      <w:rPr>
        <w:rFonts w:ascii="Arial" w:hAnsi="Arial" w:cs="Times New Roman" w:hint="default"/>
      </w:rPr>
    </w:lvl>
    <w:lvl w:ilvl="6" w:tplc="BB60DC2A">
      <w:start w:val="1"/>
      <w:numFmt w:val="bullet"/>
      <w:lvlText w:val="•"/>
      <w:lvlJc w:val="left"/>
      <w:pPr>
        <w:tabs>
          <w:tab w:val="num" w:pos="5040"/>
        </w:tabs>
        <w:ind w:left="5040" w:hanging="360"/>
      </w:pPr>
      <w:rPr>
        <w:rFonts w:ascii="Arial" w:hAnsi="Arial" w:cs="Times New Roman" w:hint="default"/>
      </w:rPr>
    </w:lvl>
    <w:lvl w:ilvl="7" w:tplc="CEF40D46">
      <w:start w:val="1"/>
      <w:numFmt w:val="bullet"/>
      <w:lvlText w:val="•"/>
      <w:lvlJc w:val="left"/>
      <w:pPr>
        <w:tabs>
          <w:tab w:val="num" w:pos="5760"/>
        </w:tabs>
        <w:ind w:left="5760" w:hanging="360"/>
      </w:pPr>
      <w:rPr>
        <w:rFonts w:ascii="Arial" w:hAnsi="Arial" w:cs="Times New Roman" w:hint="default"/>
      </w:rPr>
    </w:lvl>
    <w:lvl w:ilvl="8" w:tplc="8EEA0B5C">
      <w:start w:val="1"/>
      <w:numFmt w:val="bullet"/>
      <w:lvlText w:val="•"/>
      <w:lvlJc w:val="left"/>
      <w:pPr>
        <w:tabs>
          <w:tab w:val="num" w:pos="6480"/>
        </w:tabs>
        <w:ind w:left="6480" w:hanging="360"/>
      </w:pPr>
      <w:rPr>
        <w:rFonts w:ascii="Arial" w:hAnsi="Arial" w:cs="Times New Roman" w:hint="default"/>
      </w:rPr>
    </w:lvl>
  </w:abstractNum>
  <w:abstractNum w:abstractNumId="44" w15:restartNumberingAfterBreak="0">
    <w:nsid w:val="7C0B7E51"/>
    <w:multiLevelType w:val="hybridMultilevel"/>
    <w:tmpl w:val="668EE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926F13"/>
    <w:multiLevelType w:val="hybridMultilevel"/>
    <w:tmpl w:val="E6723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
  </w:num>
  <w:num w:numId="3">
    <w:abstractNumId w:val="30"/>
  </w:num>
  <w:num w:numId="4">
    <w:abstractNumId w:val="25"/>
  </w:num>
  <w:num w:numId="5">
    <w:abstractNumId w:val="8"/>
  </w:num>
  <w:num w:numId="6">
    <w:abstractNumId w:val="22"/>
  </w:num>
  <w:num w:numId="7">
    <w:abstractNumId w:val="18"/>
  </w:num>
  <w:num w:numId="8">
    <w:abstractNumId w:val="24"/>
  </w:num>
  <w:num w:numId="9">
    <w:abstractNumId w:val="7"/>
  </w:num>
  <w:num w:numId="10">
    <w:abstractNumId w:val="44"/>
  </w:num>
  <w:num w:numId="11">
    <w:abstractNumId w:val="6"/>
  </w:num>
  <w:num w:numId="12">
    <w:abstractNumId w:val="27"/>
  </w:num>
  <w:num w:numId="13">
    <w:abstractNumId w:val="23"/>
  </w:num>
  <w:num w:numId="14">
    <w:abstractNumId w:val="11"/>
  </w:num>
  <w:num w:numId="15">
    <w:abstractNumId w:val="10"/>
  </w:num>
  <w:num w:numId="16">
    <w:abstractNumId w:val="5"/>
  </w:num>
  <w:num w:numId="17">
    <w:abstractNumId w:val="29"/>
  </w:num>
  <w:num w:numId="18">
    <w:abstractNumId w:val="12"/>
  </w:num>
  <w:num w:numId="19">
    <w:abstractNumId w:val="40"/>
  </w:num>
  <w:num w:numId="20">
    <w:abstractNumId w:val="17"/>
  </w:num>
  <w:num w:numId="21">
    <w:abstractNumId w:val="36"/>
  </w:num>
  <w:num w:numId="22">
    <w:abstractNumId w:val="4"/>
  </w:num>
  <w:num w:numId="23">
    <w:abstractNumId w:val="39"/>
  </w:num>
  <w:num w:numId="24">
    <w:abstractNumId w:val="19"/>
  </w:num>
  <w:num w:numId="25">
    <w:abstractNumId w:val="35"/>
  </w:num>
  <w:num w:numId="26">
    <w:abstractNumId w:val="26"/>
  </w:num>
  <w:num w:numId="27">
    <w:abstractNumId w:val="9"/>
  </w:num>
  <w:num w:numId="28">
    <w:abstractNumId w:val="38"/>
  </w:num>
  <w:num w:numId="29">
    <w:abstractNumId w:val="32"/>
  </w:num>
  <w:num w:numId="30">
    <w:abstractNumId w:val="0"/>
  </w:num>
  <w:num w:numId="31">
    <w:abstractNumId w:val="1"/>
  </w:num>
  <w:num w:numId="32">
    <w:abstractNumId w:val="37"/>
  </w:num>
  <w:num w:numId="33">
    <w:abstractNumId w:val="14"/>
  </w:num>
  <w:num w:numId="34">
    <w:abstractNumId w:val="33"/>
  </w:num>
  <w:num w:numId="35">
    <w:abstractNumId w:val="43"/>
  </w:num>
  <w:num w:numId="36">
    <w:abstractNumId w:val="34"/>
  </w:num>
  <w:num w:numId="37">
    <w:abstractNumId w:val="20"/>
  </w:num>
  <w:num w:numId="38">
    <w:abstractNumId w:val="3"/>
  </w:num>
  <w:num w:numId="39">
    <w:abstractNumId w:val="41"/>
  </w:num>
  <w:num w:numId="40">
    <w:abstractNumId w:val="42"/>
  </w:num>
  <w:num w:numId="41">
    <w:abstractNumId w:val="45"/>
  </w:num>
  <w:num w:numId="42">
    <w:abstractNumId w:val="13"/>
  </w:num>
  <w:num w:numId="43">
    <w:abstractNumId w:val="28"/>
  </w:num>
  <w:num w:numId="44">
    <w:abstractNumId w:val="31"/>
  </w:num>
  <w:num w:numId="45">
    <w:abstractNumId w:val="37"/>
  </w:num>
  <w:num w:numId="46">
    <w:abstractNumId w:val="9"/>
  </w:num>
  <w:num w:numId="47">
    <w:abstractNumId w:val="15"/>
  </w:num>
  <w:num w:numId="48">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B0E"/>
    <w:rsid w:val="00003EF4"/>
    <w:rsid w:val="0000403F"/>
    <w:rsid w:val="00004885"/>
    <w:rsid w:val="000049E1"/>
    <w:rsid w:val="00004D8C"/>
    <w:rsid w:val="00004DBC"/>
    <w:rsid w:val="00004DCB"/>
    <w:rsid w:val="000051F0"/>
    <w:rsid w:val="0000545A"/>
    <w:rsid w:val="0000553B"/>
    <w:rsid w:val="00005D97"/>
    <w:rsid w:val="000063BC"/>
    <w:rsid w:val="00006780"/>
    <w:rsid w:val="00006C7A"/>
    <w:rsid w:val="000070F5"/>
    <w:rsid w:val="00007495"/>
    <w:rsid w:val="0000792C"/>
    <w:rsid w:val="00007B4B"/>
    <w:rsid w:val="00007D32"/>
    <w:rsid w:val="000101EF"/>
    <w:rsid w:val="00010DBF"/>
    <w:rsid w:val="00010E97"/>
    <w:rsid w:val="00010FD1"/>
    <w:rsid w:val="0001117C"/>
    <w:rsid w:val="000124D1"/>
    <w:rsid w:val="00012D57"/>
    <w:rsid w:val="0001321B"/>
    <w:rsid w:val="0001369A"/>
    <w:rsid w:val="000137BA"/>
    <w:rsid w:val="00013B63"/>
    <w:rsid w:val="00013F64"/>
    <w:rsid w:val="000141F0"/>
    <w:rsid w:val="00014E0E"/>
    <w:rsid w:val="00015814"/>
    <w:rsid w:val="00015BCB"/>
    <w:rsid w:val="00015CED"/>
    <w:rsid w:val="000162B2"/>
    <w:rsid w:val="0001645D"/>
    <w:rsid w:val="000164BB"/>
    <w:rsid w:val="000166FB"/>
    <w:rsid w:val="000167A6"/>
    <w:rsid w:val="00016DCE"/>
    <w:rsid w:val="00017309"/>
    <w:rsid w:val="0002002A"/>
    <w:rsid w:val="000205C1"/>
    <w:rsid w:val="0002085F"/>
    <w:rsid w:val="000209D8"/>
    <w:rsid w:val="00020D61"/>
    <w:rsid w:val="00021001"/>
    <w:rsid w:val="000210B6"/>
    <w:rsid w:val="0002113C"/>
    <w:rsid w:val="0002130A"/>
    <w:rsid w:val="00021911"/>
    <w:rsid w:val="00021B96"/>
    <w:rsid w:val="00021C67"/>
    <w:rsid w:val="00021DEC"/>
    <w:rsid w:val="00021FE3"/>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27ECB"/>
    <w:rsid w:val="000300FE"/>
    <w:rsid w:val="00030619"/>
    <w:rsid w:val="000307C6"/>
    <w:rsid w:val="00030F74"/>
    <w:rsid w:val="00030F85"/>
    <w:rsid w:val="000312B4"/>
    <w:rsid w:val="0003134F"/>
    <w:rsid w:val="000317B2"/>
    <w:rsid w:val="00031DBF"/>
    <w:rsid w:val="00031EDD"/>
    <w:rsid w:val="000321DC"/>
    <w:rsid w:val="000325EF"/>
    <w:rsid w:val="0003280C"/>
    <w:rsid w:val="00032A0C"/>
    <w:rsid w:val="00033EB8"/>
    <w:rsid w:val="00034882"/>
    <w:rsid w:val="000349B7"/>
    <w:rsid w:val="0003540B"/>
    <w:rsid w:val="00035574"/>
    <w:rsid w:val="00036199"/>
    <w:rsid w:val="000365A2"/>
    <w:rsid w:val="0003698E"/>
    <w:rsid w:val="00036C45"/>
    <w:rsid w:val="00036FA7"/>
    <w:rsid w:val="000370B4"/>
    <w:rsid w:val="0003723F"/>
    <w:rsid w:val="000372BF"/>
    <w:rsid w:val="000377E3"/>
    <w:rsid w:val="00037A21"/>
    <w:rsid w:val="00037C2D"/>
    <w:rsid w:val="000402B6"/>
    <w:rsid w:val="0004032C"/>
    <w:rsid w:val="000404F2"/>
    <w:rsid w:val="00040AAD"/>
    <w:rsid w:val="00040C15"/>
    <w:rsid w:val="000413B8"/>
    <w:rsid w:val="000416DE"/>
    <w:rsid w:val="0004182E"/>
    <w:rsid w:val="000418C8"/>
    <w:rsid w:val="0004198E"/>
    <w:rsid w:val="00041B22"/>
    <w:rsid w:val="00041D52"/>
    <w:rsid w:val="00041EC3"/>
    <w:rsid w:val="00042BFC"/>
    <w:rsid w:val="000430CF"/>
    <w:rsid w:val="00043266"/>
    <w:rsid w:val="00043407"/>
    <w:rsid w:val="00043703"/>
    <w:rsid w:val="00044225"/>
    <w:rsid w:val="00044576"/>
    <w:rsid w:val="00044872"/>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A40"/>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67D1"/>
    <w:rsid w:val="000669DA"/>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32D0"/>
    <w:rsid w:val="00083322"/>
    <w:rsid w:val="0008399B"/>
    <w:rsid w:val="00083ABE"/>
    <w:rsid w:val="00084255"/>
    <w:rsid w:val="00085239"/>
    <w:rsid w:val="000855A3"/>
    <w:rsid w:val="00085A9C"/>
    <w:rsid w:val="00085F08"/>
    <w:rsid w:val="00086210"/>
    <w:rsid w:val="000862BA"/>
    <w:rsid w:val="000862F6"/>
    <w:rsid w:val="00086B50"/>
    <w:rsid w:val="00086C4D"/>
    <w:rsid w:val="0008760B"/>
    <w:rsid w:val="0008782D"/>
    <w:rsid w:val="00087E29"/>
    <w:rsid w:val="0009037D"/>
    <w:rsid w:val="00090394"/>
    <w:rsid w:val="00090573"/>
    <w:rsid w:val="00090779"/>
    <w:rsid w:val="00091ADD"/>
    <w:rsid w:val="000921E3"/>
    <w:rsid w:val="00092A3D"/>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97"/>
    <w:rsid w:val="000979F0"/>
    <w:rsid w:val="00097AE8"/>
    <w:rsid w:val="000A02DC"/>
    <w:rsid w:val="000A09A2"/>
    <w:rsid w:val="000A0CA1"/>
    <w:rsid w:val="000A0E99"/>
    <w:rsid w:val="000A153E"/>
    <w:rsid w:val="000A1AD3"/>
    <w:rsid w:val="000A1D49"/>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56B"/>
    <w:rsid w:val="000B32D4"/>
    <w:rsid w:val="000B3838"/>
    <w:rsid w:val="000B38DA"/>
    <w:rsid w:val="000B3F37"/>
    <w:rsid w:val="000B4788"/>
    <w:rsid w:val="000B49D7"/>
    <w:rsid w:val="000B546F"/>
    <w:rsid w:val="000B5E13"/>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493"/>
    <w:rsid w:val="000C4538"/>
    <w:rsid w:val="000C4C76"/>
    <w:rsid w:val="000C5759"/>
    <w:rsid w:val="000C5E7D"/>
    <w:rsid w:val="000C673C"/>
    <w:rsid w:val="000C69F8"/>
    <w:rsid w:val="000C6A01"/>
    <w:rsid w:val="000C71D9"/>
    <w:rsid w:val="000D0153"/>
    <w:rsid w:val="000D037E"/>
    <w:rsid w:val="000D0A0F"/>
    <w:rsid w:val="000D0AB8"/>
    <w:rsid w:val="000D0B71"/>
    <w:rsid w:val="000D0BCC"/>
    <w:rsid w:val="000D0F9A"/>
    <w:rsid w:val="000D10A8"/>
    <w:rsid w:val="000D148D"/>
    <w:rsid w:val="000D14EB"/>
    <w:rsid w:val="000D1610"/>
    <w:rsid w:val="000D206C"/>
    <w:rsid w:val="000D2185"/>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2D36"/>
    <w:rsid w:val="000E3075"/>
    <w:rsid w:val="000E331F"/>
    <w:rsid w:val="000E3358"/>
    <w:rsid w:val="000E38ED"/>
    <w:rsid w:val="000E3F84"/>
    <w:rsid w:val="000E40C3"/>
    <w:rsid w:val="000E4C9B"/>
    <w:rsid w:val="000E4D01"/>
    <w:rsid w:val="000E502E"/>
    <w:rsid w:val="000E5830"/>
    <w:rsid w:val="000E5C46"/>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A06"/>
    <w:rsid w:val="000F1CF3"/>
    <w:rsid w:val="000F1F98"/>
    <w:rsid w:val="000F20CD"/>
    <w:rsid w:val="000F2965"/>
    <w:rsid w:val="000F34C7"/>
    <w:rsid w:val="000F3B40"/>
    <w:rsid w:val="000F3F2F"/>
    <w:rsid w:val="000F42EA"/>
    <w:rsid w:val="000F4A99"/>
    <w:rsid w:val="000F4C0A"/>
    <w:rsid w:val="000F4CAF"/>
    <w:rsid w:val="000F4D2F"/>
    <w:rsid w:val="000F4F44"/>
    <w:rsid w:val="000F53CB"/>
    <w:rsid w:val="000F6799"/>
    <w:rsid w:val="000F6881"/>
    <w:rsid w:val="000F6C32"/>
    <w:rsid w:val="000F6CB0"/>
    <w:rsid w:val="000F6D86"/>
    <w:rsid w:val="000F7CAD"/>
    <w:rsid w:val="00100097"/>
    <w:rsid w:val="001000E9"/>
    <w:rsid w:val="00100161"/>
    <w:rsid w:val="00100169"/>
    <w:rsid w:val="0010067A"/>
    <w:rsid w:val="001009BB"/>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C3"/>
    <w:rsid w:val="00106E7E"/>
    <w:rsid w:val="00106FF1"/>
    <w:rsid w:val="00107423"/>
    <w:rsid w:val="0010795D"/>
    <w:rsid w:val="0011034F"/>
    <w:rsid w:val="0011036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A78"/>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591"/>
    <w:rsid w:val="00131683"/>
    <w:rsid w:val="00131A50"/>
    <w:rsid w:val="00131AC6"/>
    <w:rsid w:val="001321CE"/>
    <w:rsid w:val="001322B0"/>
    <w:rsid w:val="00132671"/>
    <w:rsid w:val="00132767"/>
    <w:rsid w:val="00132917"/>
    <w:rsid w:val="00132E89"/>
    <w:rsid w:val="0013327F"/>
    <w:rsid w:val="0013334C"/>
    <w:rsid w:val="00133EBD"/>
    <w:rsid w:val="00135015"/>
    <w:rsid w:val="00135095"/>
    <w:rsid w:val="00135517"/>
    <w:rsid w:val="0013573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2FBC"/>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6D9"/>
    <w:rsid w:val="001517AB"/>
    <w:rsid w:val="00151805"/>
    <w:rsid w:val="00151897"/>
    <w:rsid w:val="00152066"/>
    <w:rsid w:val="001522B3"/>
    <w:rsid w:val="00152559"/>
    <w:rsid w:val="00152744"/>
    <w:rsid w:val="00152A3B"/>
    <w:rsid w:val="0015347E"/>
    <w:rsid w:val="00153A48"/>
    <w:rsid w:val="00153A6B"/>
    <w:rsid w:val="00153E69"/>
    <w:rsid w:val="00153EEF"/>
    <w:rsid w:val="00153F29"/>
    <w:rsid w:val="001544AB"/>
    <w:rsid w:val="00154DE7"/>
    <w:rsid w:val="00154F0D"/>
    <w:rsid w:val="00155178"/>
    <w:rsid w:val="0015554F"/>
    <w:rsid w:val="00155D53"/>
    <w:rsid w:val="0015622B"/>
    <w:rsid w:val="00156260"/>
    <w:rsid w:val="00156284"/>
    <w:rsid w:val="0015638B"/>
    <w:rsid w:val="00156502"/>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2D"/>
    <w:rsid w:val="00165D9A"/>
    <w:rsid w:val="001661E2"/>
    <w:rsid w:val="0016634F"/>
    <w:rsid w:val="001665D2"/>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711"/>
    <w:rsid w:val="001738A5"/>
    <w:rsid w:val="00173A00"/>
    <w:rsid w:val="00173D38"/>
    <w:rsid w:val="001742A6"/>
    <w:rsid w:val="00174913"/>
    <w:rsid w:val="00174DDB"/>
    <w:rsid w:val="00175009"/>
    <w:rsid w:val="001752EC"/>
    <w:rsid w:val="00175A6E"/>
    <w:rsid w:val="00175B5A"/>
    <w:rsid w:val="00175EF2"/>
    <w:rsid w:val="00176414"/>
    <w:rsid w:val="00176BDB"/>
    <w:rsid w:val="0017714C"/>
    <w:rsid w:val="0017722E"/>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540"/>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1798"/>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68B"/>
    <w:rsid w:val="001B7905"/>
    <w:rsid w:val="001C0085"/>
    <w:rsid w:val="001C063F"/>
    <w:rsid w:val="001C0874"/>
    <w:rsid w:val="001C0883"/>
    <w:rsid w:val="001C0FF5"/>
    <w:rsid w:val="001C12A0"/>
    <w:rsid w:val="001C16A9"/>
    <w:rsid w:val="001C19EB"/>
    <w:rsid w:val="001C1E53"/>
    <w:rsid w:val="001C211D"/>
    <w:rsid w:val="001C22B1"/>
    <w:rsid w:val="001C2A8B"/>
    <w:rsid w:val="001C3434"/>
    <w:rsid w:val="001C3474"/>
    <w:rsid w:val="001C3DC6"/>
    <w:rsid w:val="001C3E02"/>
    <w:rsid w:val="001C4A39"/>
    <w:rsid w:val="001C4F5F"/>
    <w:rsid w:val="001C54B8"/>
    <w:rsid w:val="001C589B"/>
    <w:rsid w:val="001C58A6"/>
    <w:rsid w:val="001C5BC8"/>
    <w:rsid w:val="001C5DBB"/>
    <w:rsid w:val="001C5F88"/>
    <w:rsid w:val="001C60F0"/>
    <w:rsid w:val="001C6182"/>
    <w:rsid w:val="001C619C"/>
    <w:rsid w:val="001C639F"/>
    <w:rsid w:val="001C66D2"/>
    <w:rsid w:val="001C7426"/>
    <w:rsid w:val="001C7F47"/>
    <w:rsid w:val="001D006C"/>
    <w:rsid w:val="001D056C"/>
    <w:rsid w:val="001D0578"/>
    <w:rsid w:val="001D0593"/>
    <w:rsid w:val="001D1258"/>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4FE7"/>
    <w:rsid w:val="001F53A2"/>
    <w:rsid w:val="001F5C95"/>
    <w:rsid w:val="001F5C9E"/>
    <w:rsid w:val="001F5E73"/>
    <w:rsid w:val="001F5ED8"/>
    <w:rsid w:val="001F5F10"/>
    <w:rsid w:val="001F644E"/>
    <w:rsid w:val="001F6889"/>
    <w:rsid w:val="001F6E45"/>
    <w:rsid w:val="001F7317"/>
    <w:rsid w:val="001F798D"/>
    <w:rsid w:val="001F7DD6"/>
    <w:rsid w:val="002000F2"/>
    <w:rsid w:val="002000FC"/>
    <w:rsid w:val="0020085F"/>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543"/>
    <w:rsid w:val="00205635"/>
    <w:rsid w:val="002059A3"/>
    <w:rsid w:val="00205A84"/>
    <w:rsid w:val="00205AB2"/>
    <w:rsid w:val="00205CB2"/>
    <w:rsid w:val="00205D98"/>
    <w:rsid w:val="0020610B"/>
    <w:rsid w:val="002063A7"/>
    <w:rsid w:val="0020671A"/>
    <w:rsid w:val="0020674D"/>
    <w:rsid w:val="00206BF6"/>
    <w:rsid w:val="00206E5A"/>
    <w:rsid w:val="00207613"/>
    <w:rsid w:val="00207847"/>
    <w:rsid w:val="00207A74"/>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9C8"/>
    <w:rsid w:val="00234B73"/>
    <w:rsid w:val="00234D8C"/>
    <w:rsid w:val="00235581"/>
    <w:rsid w:val="00235698"/>
    <w:rsid w:val="00236F71"/>
    <w:rsid w:val="00237143"/>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B7F"/>
    <w:rsid w:val="00243FCB"/>
    <w:rsid w:val="0024445A"/>
    <w:rsid w:val="00244606"/>
    <w:rsid w:val="00244924"/>
    <w:rsid w:val="002449F4"/>
    <w:rsid w:val="00244B06"/>
    <w:rsid w:val="00245115"/>
    <w:rsid w:val="0024514D"/>
    <w:rsid w:val="00245167"/>
    <w:rsid w:val="0024520E"/>
    <w:rsid w:val="0024530E"/>
    <w:rsid w:val="00245492"/>
    <w:rsid w:val="00245A41"/>
    <w:rsid w:val="00245B70"/>
    <w:rsid w:val="00245D7D"/>
    <w:rsid w:val="00245E39"/>
    <w:rsid w:val="00245E49"/>
    <w:rsid w:val="00245FBA"/>
    <w:rsid w:val="00245FDB"/>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39D5"/>
    <w:rsid w:val="0025429A"/>
    <w:rsid w:val="0025655A"/>
    <w:rsid w:val="00256B22"/>
    <w:rsid w:val="00256B25"/>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DD5"/>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15"/>
    <w:rsid w:val="002B10F9"/>
    <w:rsid w:val="002B12C7"/>
    <w:rsid w:val="002B15CF"/>
    <w:rsid w:val="002B1939"/>
    <w:rsid w:val="002B1AFA"/>
    <w:rsid w:val="002B21D6"/>
    <w:rsid w:val="002B2C92"/>
    <w:rsid w:val="002B3081"/>
    <w:rsid w:val="002B318B"/>
    <w:rsid w:val="002B32BC"/>
    <w:rsid w:val="002B340B"/>
    <w:rsid w:val="002B34AE"/>
    <w:rsid w:val="002B39E3"/>
    <w:rsid w:val="002B3D90"/>
    <w:rsid w:val="002B453B"/>
    <w:rsid w:val="002B4C39"/>
    <w:rsid w:val="002B601A"/>
    <w:rsid w:val="002B60FF"/>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87C"/>
    <w:rsid w:val="002C5A6B"/>
    <w:rsid w:val="002C61E0"/>
    <w:rsid w:val="002C640C"/>
    <w:rsid w:val="002C6D3C"/>
    <w:rsid w:val="002C7114"/>
    <w:rsid w:val="002C74E6"/>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D78EF"/>
    <w:rsid w:val="002E0E5E"/>
    <w:rsid w:val="002E0E94"/>
    <w:rsid w:val="002E15A5"/>
    <w:rsid w:val="002E16BC"/>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D88"/>
    <w:rsid w:val="00307E05"/>
    <w:rsid w:val="00307F28"/>
    <w:rsid w:val="003101DC"/>
    <w:rsid w:val="0031049F"/>
    <w:rsid w:val="00310CC6"/>
    <w:rsid w:val="00310F30"/>
    <w:rsid w:val="00311642"/>
    <w:rsid w:val="00311761"/>
    <w:rsid w:val="00311941"/>
    <w:rsid w:val="00312709"/>
    <w:rsid w:val="00312ACB"/>
    <w:rsid w:val="003134E8"/>
    <w:rsid w:val="00313765"/>
    <w:rsid w:val="003137A0"/>
    <w:rsid w:val="00313BC1"/>
    <w:rsid w:val="00313C4F"/>
    <w:rsid w:val="003141C2"/>
    <w:rsid w:val="00314CBB"/>
    <w:rsid w:val="0031599D"/>
    <w:rsid w:val="00315DEC"/>
    <w:rsid w:val="00316064"/>
    <w:rsid w:val="00316C58"/>
    <w:rsid w:val="00316EAE"/>
    <w:rsid w:val="00317050"/>
    <w:rsid w:val="00317625"/>
    <w:rsid w:val="0031767A"/>
    <w:rsid w:val="00317731"/>
    <w:rsid w:val="00317BC5"/>
    <w:rsid w:val="00317C5E"/>
    <w:rsid w:val="0032013F"/>
    <w:rsid w:val="0032018E"/>
    <w:rsid w:val="00320310"/>
    <w:rsid w:val="00320B1B"/>
    <w:rsid w:val="00320B31"/>
    <w:rsid w:val="00320F1B"/>
    <w:rsid w:val="0032151E"/>
    <w:rsid w:val="0032172E"/>
    <w:rsid w:val="003217FD"/>
    <w:rsid w:val="00321822"/>
    <w:rsid w:val="00321B02"/>
    <w:rsid w:val="00322BC3"/>
    <w:rsid w:val="00322C2B"/>
    <w:rsid w:val="00322E3B"/>
    <w:rsid w:val="00323273"/>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27FBE"/>
    <w:rsid w:val="003308C4"/>
    <w:rsid w:val="00330C30"/>
    <w:rsid w:val="00330DE8"/>
    <w:rsid w:val="00332123"/>
    <w:rsid w:val="003321C3"/>
    <w:rsid w:val="00332962"/>
    <w:rsid w:val="00333D8E"/>
    <w:rsid w:val="003346F8"/>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305B"/>
    <w:rsid w:val="00343C24"/>
    <w:rsid w:val="00343FA6"/>
    <w:rsid w:val="00344725"/>
    <w:rsid w:val="00344901"/>
    <w:rsid w:val="0034511B"/>
    <w:rsid w:val="003453BF"/>
    <w:rsid w:val="0034745C"/>
    <w:rsid w:val="003474CD"/>
    <w:rsid w:val="0034774C"/>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059C"/>
    <w:rsid w:val="003617B5"/>
    <w:rsid w:val="0036185C"/>
    <w:rsid w:val="00361B1A"/>
    <w:rsid w:val="0036227D"/>
    <w:rsid w:val="0036262C"/>
    <w:rsid w:val="00362C5A"/>
    <w:rsid w:val="003635B6"/>
    <w:rsid w:val="0036362F"/>
    <w:rsid w:val="00363FC9"/>
    <w:rsid w:val="00365023"/>
    <w:rsid w:val="00365644"/>
    <w:rsid w:val="0036590C"/>
    <w:rsid w:val="003665C5"/>
    <w:rsid w:val="00366B3A"/>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8040A"/>
    <w:rsid w:val="00380543"/>
    <w:rsid w:val="00380602"/>
    <w:rsid w:val="00380892"/>
    <w:rsid w:val="00380BBD"/>
    <w:rsid w:val="00380FF5"/>
    <w:rsid w:val="0038158E"/>
    <w:rsid w:val="003821E7"/>
    <w:rsid w:val="0038269E"/>
    <w:rsid w:val="00382903"/>
    <w:rsid w:val="00383D4B"/>
    <w:rsid w:val="00383DDB"/>
    <w:rsid w:val="003842A8"/>
    <w:rsid w:val="003846C9"/>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868"/>
    <w:rsid w:val="00387B2B"/>
    <w:rsid w:val="00390449"/>
    <w:rsid w:val="003904B1"/>
    <w:rsid w:val="003907D2"/>
    <w:rsid w:val="00390C56"/>
    <w:rsid w:val="0039122C"/>
    <w:rsid w:val="0039124D"/>
    <w:rsid w:val="00391354"/>
    <w:rsid w:val="00391A92"/>
    <w:rsid w:val="00391C99"/>
    <w:rsid w:val="003926BE"/>
    <w:rsid w:val="003929BE"/>
    <w:rsid w:val="003929D3"/>
    <w:rsid w:val="00392A1F"/>
    <w:rsid w:val="00392DB8"/>
    <w:rsid w:val="00392FA0"/>
    <w:rsid w:val="003933FD"/>
    <w:rsid w:val="00393A68"/>
    <w:rsid w:val="00393B78"/>
    <w:rsid w:val="003946B1"/>
    <w:rsid w:val="00394775"/>
    <w:rsid w:val="00394948"/>
    <w:rsid w:val="00394B44"/>
    <w:rsid w:val="00394D6C"/>
    <w:rsid w:val="0039502C"/>
    <w:rsid w:val="0039511F"/>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BD6"/>
    <w:rsid w:val="003A2D39"/>
    <w:rsid w:val="003A2FE7"/>
    <w:rsid w:val="003A349E"/>
    <w:rsid w:val="003A38AC"/>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AAF"/>
    <w:rsid w:val="003B4B90"/>
    <w:rsid w:val="003B4D9B"/>
    <w:rsid w:val="003B4E9C"/>
    <w:rsid w:val="003B4F75"/>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B1C"/>
    <w:rsid w:val="003C4F25"/>
    <w:rsid w:val="003C64CD"/>
    <w:rsid w:val="003C6580"/>
    <w:rsid w:val="003C6CCB"/>
    <w:rsid w:val="003C6DA9"/>
    <w:rsid w:val="003C7855"/>
    <w:rsid w:val="003C7AE8"/>
    <w:rsid w:val="003D0240"/>
    <w:rsid w:val="003D06A7"/>
    <w:rsid w:val="003D0868"/>
    <w:rsid w:val="003D09DA"/>
    <w:rsid w:val="003D0D75"/>
    <w:rsid w:val="003D1CD0"/>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3CF"/>
    <w:rsid w:val="003D740C"/>
    <w:rsid w:val="003D79E8"/>
    <w:rsid w:val="003D7F46"/>
    <w:rsid w:val="003E0487"/>
    <w:rsid w:val="003E0622"/>
    <w:rsid w:val="003E089F"/>
    <w:rsid w:val="003E0974"/>
    <w:rsid w:val="003E0ADB"/>
    <w:rsid w:val="003E0CE4"/>
    <w:rsid w:val="003E16FD"/>
    <w:rsid w:val="003E1868"/>
    <w:rsid w:val="003E1B00"/>
    <w:rsid w:val="003E1CF4"/>
    <w:rsid w:val="003E23A4"/>
    <w:rsid w:val="003E27B0"/>
    <w:rsid w:val="003E2818"/>
    <w:rsid w:val="003E2BF4"/>
    <w:rsid w:val="003E300E"/>
    <w:rsid w:val="003E3015"/>
    <w:rsid w:val="003E3524"/>
    <w:rsid w:val="003E37AD"/>
    <w:rsid w:val="003E37FC"/>
    <w:rsid w:val="003E3944"/>
    <w:rsid w:val="003E3B07"/>
    <w:rsid w:val="003E3C5B"/>
    <w:rsid w:val="003E3CA6"/>
    <w:rsid w:val="003E40C9"/>
    <w:rsid w:val="003E416F"/>
    <w:rsid w:val="003E44DC"/>
    <w:rsid w:val="003E4884"/>
    <w:rsid w:val="003E4CDB"/>
    <w:rsid w:val="003E5DD3"/>
    <w:rsid w:val="003E6289"/>
    <w:rsid w:val="003E6592"/>
    <w:rsid w:val="003E679D"/>
    <w:rsid w:val="003E6A3C"/>
    <w:rsid w:val="003E700A"/>
    <w:rsid w:val="003E7313"/>
    <w:rsid w:val="003E73BC"/>
    <w:rsid w:val="003E76BB"/>
    <w:rsid w:val="003E7706"/>
    <w:rsid w:val="003E7C5E"/>
    <w:rsid w:val="003F0077"/>
    <w:rsid w:val="003F0656"/>
    <w:rsid w:val="003F066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95B"/>
    <w:rsid w:val="00404D4D"/>
    <w:rsid w:val="00404FCC"/>
    <w:rsid w:val="00405898"/>
    <w:rsid w:val="00405A9F"/>
    <w:rsid w:val="00405D95"/>
    <w:rsid w:val="00405F90"/>
    <w:rsid w:val="00406108"/>
    <w:rsid w:val="00406412"/>
    <w:rsid w:val="00406589"/>
    <w:rsid w:val="00406D4A"/>
    <w:rsid w:val="00406D9D"/>
    <w:rsid w:val="00406F4B"/>
    <w:rsid w:val="00406FBD"/>
    <w:rsid w:val="004073B0"/>
    <w:rsid w:val="00407612"/>
    <w:rsid w:val="0041029D"/>
    <w:rsid w:val="004102A7"/>
    <w:rsid w:val="00411230"/>
    <w:rsid w:val="00411472"/>
    <w:rsid w:val="00411558"/>
    <w:rsid w:val="004116C3"/>
    <w:rsid w:val="004118C9"/>
    <w:rsid w:val="00412263"/>
    <w:rsid w:val="0041249C"/>
    <w:rsid w:val="00412697"/>
    <w:rsid w:val="00412735"/>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241"/>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49D0"/>
    <w:rsid w:val="00424CE4"/>
    <w:rsid w:val="004251F8"/>
    <w:rsid w:val="004253B1"/>
    <w:rsid w:val="00425C97"/>
    <w:rsid w:val="00425E42"/>
    <w:rsid w:val="00425FFD"/>
    <w:rsid w:val="004262F8"/>
    <w:rsid w:val="00426442"/>
    <w:rsid w:val="0042654A"/>
    <w:rsid w:val="00426A93"/>
    <w:rsid w:val="00426D1A"/>
    <w:rsid w:val="00426DFA"/>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589"/>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47FB0"/>
    <w:rsid w:val="004503F9"/>
    <w:rsid w:val="00450778"/>
    <w:rsid w:val="00450D3B"/>
    <w:rsid w:val="0045169D"/>
    <w:rsid w:val="004518D5"/>
    <w:rsid w:val="00451B06"/>
    <w:rsid w:val="00451BEB"/>
    <w:rsid w:val="004520FE"/>
    <w:rsid w:val="004527C0"/>
    <w:rsid w:val="00453871"/>
    <w:rsid w:val="00453980"/>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2BA"/>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0D5"/>
    <w:rsid w:val="00463337"/>
    <w:rsid w:val="00463448"/>
    <w:rsid w:val="004636FA"/>
    <w:rsid w:val="0046400B"/>
    <w:rsid w:val="004641A0"/>
    <w:rsid w:val="0046434B"/>
    <w:rsid w:val="00464A82"/>
    <w:rsid w:val="00464EE0"/>
    <w:rsid w:val="00465158"/>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A7F"/>
    <w:rsid w:val="00492C2F"/>
    <w:rsid w:val="0049349F"/>
    <w:rsid w:val="004935A4"/>
    <w:rsid w:val="004938AA"/>
    <w:rsid w:val="00493D08"/>
    <w:rsid w:val="00494329"/>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794"/>
    <w:rsid w:val="004A705C"/>
    <w:rsid w:val="004A7172"/>
    <w:rsid w:val="004A7276"/>
    <w:rsid w:val="004A746B"/>
    <w:rsid w:val="004A770C"/>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DF0"/>
    <w:rsid w:val="004E6EAC"/>
    <w:rsid w:val="004E6F18"/>
    <w:rsid w:val="004E76A5"/>
    <w:rsid w:val="004E7B18"/>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0AA"/>
    <w:rsid w:val="004F2826"/>
    <w:rsid w:val="004F2AA6"/>
    <w:rsid w:val="004F2B9C"/>
    <w:rsid w:val="004F2CCE"/>
    <w:rsid w:val="004F3368"/>
    <w:rsid w:val="004F359A"/>
    <w:rsid w:val="004F3DD1"/>
    <w:rsid w:val="004F4E53"/>
    <w:rsid w:val="004F547E"/>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D6D"/>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670"/>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626"/>
    <w:rsid w:val="00510CE2"/>
    <w:rsid w:val="00511599"/>
    <w:rsid w:val="005119D6"/>
    <w:rsid w:val="00511E67"/>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933"/>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483"/>
    <w:rsid w:val="00551593"/>
    <w:rsid w:val="00551E52"/>
    <w:rsid w:val="00552038"/>
    <w:rsid w:val="0055228D"/>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15D"/>
    <w:rsid w:val="005753CA"/>
    <w:rsid w:val="005753DB"/>
    <w:rsid w:val="005756BD"/>
    <w:rsid w:val="00575E09"/>
    <w:rsid w:val="005760C5"/>
    <w:rsid w:val="005766EA"/>
    <w:rsid w:val="00576903"/>
    <w:rsid w:val="00576A37"/>
    <w:rsid w:val="00577368"/>
    <w:rsid w:val="005773FF"/>
    <w:rsid w:val="00577540"/>
    <w:rsid w:val="005777AC"/>
    <w:rsid w:val="00577E83"/>
    <w:rsid w:val="00577EB4"/>
    <w:rsid w:val="00580F52"/>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5DB"/>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3CE"/>
    <w:rsid w:val="005C376D"/>
    <w:rsid w:val="005C46D7"/>
    <w:rsid w:val="005C4B4D"/>
    <w:rsid w:val="005C4CD6"/>
    <w:rsid w:val="005C4DE3"/>
    <w:rsid w:val="005C5024"/>
    <w:rsid w:val="005C5372"/>
    <w:rsid w:val="005C5379"/>
    <w:rsid w:val="005C537D"/>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7F9"/>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AF9"/>
    <w:rsid w:val="005D6B30"/>
    <w:rsid w:val="005D6E1C"/>
    <w:rsid w:val="005D7458"/>
    <w:rsid w:val="005D7539"/>
    <w:rsid w:val="005D76F4"/>
    <w:rsid w:val="005D7E04"/>
    <w:rsid w:val="005E0082"/>
    <w:rsid w:val="005E06E1"/>
    <w:rsid w:val="005E0899"/>
    <w:rsid w:val="005E1393"/>
    <w:rsid w:val="005E1411"/>
    <w:rsid w:val="005E18CE"/>
    <w:rsid w:val="005E2213"/>
    <w:rsid w:val="005E3035"/>
    <w:rsid w:val="005E35FD"/>
    <w:rsid w:val="005E383F"/>
    <w:rsid w:val="005E3B77"/>
    <w:rsid w:val="005E3F5F"/>
    <w:rsid w:val="005E48F7"/>
    <w:rsid w:val="005E4CCB"/>
    <w:rsid w:val="005E4FBF"/>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AC8"/>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2DCC"/>
    <w:rsid w:val="00623427"/>
    <w:rsid w:val="00623AEB"/>
    <w:rsid w:val="00623E4E"/>
    <w:rsid w:val="00624C2C"/>
    <w:rsid w:val="00624C6E"/>
    <w:rsid w:val="00624FB3"/>
    <w:rsid w:val="00624FF1"/>
    <w:rsid w:val="0062587D"/>
    <w:rsid w:val="00625B24"/>
    <w:rsid w:val="0062602F"/>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0D5"/>
    <w:rsid w:val="00643769"/>
    <w:rsid w:val="006437D5"/>
    <w:rsid w:val="00643891"/>
    <w:rsid w:val="00643DCD"/>
    <w:rsid w:val="00644200"/>
    <w:rsid w:val="0064428B"/>
    <w:rsid w:val="006443C6"/>
    <w:rsid w:val="00644511"/>
    <w:rsid w:val="0064486C"/>
    <w:rsid w:val="00644E60"/>
    <w:rsid w:val="00645190"/>
    <w:rsid w:val="00645ACC"/>
    <w:rsid w:val="0064615B"/>
    <w:rsid w:val="006466B5"/>
    <w:rsid w:val="006477A7"/>
    <w:rsid w:val="00647BB6"/>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346"/>
    <w:rsid w:val="0068079C"/>
    <w:rsid w:val="00680A97"/>
    <w:rsid w:val="00680F30"/>
    <w:rsid w:val="00680F81"/>
    <w:rsid w:val="0068102D"/>
    <w:rsid w:val="00681254"/>
    <w:rsid w:val="00681307"/>
    <w:rsid w:val="006820C0"/>
    <w:rsid w:val="0068226B"/>
    <w:rsid w:val="00682E47"/>
    <w:rsid w:val="00682ED3"/>
    <w:rsid w:val="006839BA"/>
    <w:rsid w:val="00683D7F"/>
    <w:rsid w:val="00683E9E"/>
    <w:rsid w:val="00684258"/>
    <w:rsid w:val="006845C9"/>
    <w:rsid w:val="006853FF"/>
    <w:rsid w:val="00685725"/>
    <w:rsid w:val="00685834"/>
    <w:rsid w:val="00685D3B"/>
    <w:rsid w:val="00685DB7"/>
    <w:rsid w:val="0068623E"/>
    <w:rsid w:val="00686366"/>
    <w:rsid w:val="0068653A"/>
    <w:rsid w:val="00686644"/>
    <w:rsid w:val="00686A14"/>
    <w:rsid w:val="00686FAD"/>
    <w:rsid w:val="0068721F"/>
    <w:rsid w:val="006878B2"/>
    <w:rsid w:val="00687A10"/>
    <w:rsid w:val="00690D12"/>
    <w:rsid w:val="00690F0E"/>
    <w:rsid w:val="006919C5"/>
    <w:rsid w:val="00692200"/>
    <w:rsid w:val="00692799"/>
    <w:rsid w:val="006927F0"/>
    <w:rsid w:val="00692A0D"/>
    <w:rsid w:val="00692BDC"/>
    <w:rsid w:val="00693077"/>
    <w:rsid w:val="00693295"/>
    <w:rsid w:val="00693529"/>
    <w:rsid w:val="006935E1"/>
    <w:rsid w:val="00693872"/>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9BF"/>
    <w:rsid w:val="006A2BF5"/>
    <w:rsid w:val="006A2D0E"/>
    <w:rsid w:val="006A2E66"/>
    <w:rsid w:val="006A3227"/>
    <w:rsid w:val="006A3396"/>
    <w:rsid w:val="006A3F94"/>
    <w:rsid w:val="006A40D0"/>
    <w:rsid w:val="006A4113"/>
    <w:rsid w:val="006A444A"/>
    <w:rsid w:val="006A49B5"/>
    <w:rsid w:val="006A4F1A"/>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11A"/>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6B0"/>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3B3"/>
    <w:rsid w:val="006F1D86"/>
    <w:rsid w:val="006F1E30"/>
    <w:rsid w:val="006F20A6"/>
    <w:rsid w:val="006F20A7"/>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22D3"/>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1E68"/>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B3"/>
    <w:rsid w:val="00721E1D"/>
    <w:rsid w:val="00722260"/>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2C7F"/>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9CA"/>
    <w:rsid w:val="00742A51"/>
    <w:rsid w:val="00743468"/>
    <w:rsid w:val="007435B1"/>
    <w:rsid w:val="007436B1"/>
    <w:rsid w:val="007436D5"/>
    <w:rsid w:val="00743867"/>
    <w:rsid w:val="00744055"/>
    <w:rsid w:val="0074443A"/>
    <w:rsid w:val="0074462D"/>
    <w:rsid w:val="0074475B"/>
    <w:rsid w:val="00744E4F"/>
    <w:rsid w:val="00744E5D"/>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1FD1"/>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C4C"/>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EC7"/>
    <w:rsid w:val="007743A1"/>
    <w:rsid w:val="007744EF"/>
    <w:rsid w:val="00775BAA"/>
    <w:rsid w:val="00775C35"/>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A37"/>
    <w:rsid w:val="00782D8A"/>
    <w:rsid w:val="007833C3"/>
    <w:rsid w:val="007837BE"/>
    <w:rsid w:val="0078380D"/>
    <w:rsid w:val="00784112"/>
    <w:rsid w:val="007842FE"/>
    <w:rsid w:val="0078440C"/>
    <w:rsid w:val="00784702"/>
    <w:rsid w:val="00784C31"/>
    <w:rsid w:val="00784EA1"/>
    <w:rsid w:val="00784ECF"/>
    <w:rsid w:val="00784FC7"/>
    <w:rsid w:val="007859E1"/>
    <w:rsid w:val="00785AF5"/>
    <w:rsid w:val="0078618F"/>
    <w:rsid w:val="007861D1"/>
    <w:rsid w:val="00786272"/>
    <w:rsid w:val="007864B2"/>
    <w:rsid w:val="007864F6"/>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319"/>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2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6F0"/>
    <w:rsid w:val="007B5A66"/>
    <w:rsid w:val="007B630D"/>
    <w:rsid w:val="007B645F"/>
    <w:rsid w:val="007B6B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4DB"/>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2B"/>
    <w:rsid w:val="007D1B7C"/>
    <w:rsid w:val="007D214A"/>
    <w:rsid w:val="007D357E"/>
    <w:rsid w:val="007D3889"/>
    <w:rsid w:val="007D39D7"/>
    <w:rsid w:val="007D478D"/>
    <w:rsid w:val="007D4838"/>
    <w:rsid w:val="007D4940"/>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F8"/>
    <w:rsid w:val="007E42F2"/>
    <w:rsid w:val="007E4653"/>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477"/>
    <w:rsid w:val="007F2DBB"/>
    <w:rsid w:val="007F2ED4"/>
    <w:rsid w:val="007F3507"/>
    <w:rsid w:val="007F3960"/>
    <w:rsid w:val="007F3F4E"/>
    <w:rsid w:val="007F3FB0"/>
    <w:rsid w:val="007F43A9"/>
    <w:rsid w:val="007F4FEA"/>
    <w:rsid w:val="007F54CD"/>
    <w:rsid w:val="007F5605"/>
    <w:rsid w:val="007F5608"/>
    <w:rsid w:val="007F5874"/>
    <w:rsid w:val="007F5D4A"/>
    <w:rsid w:val="007F6020"/>
    <w:rsid w:val="007F6562"/>
    <w:rsid w:val="007F65F2"/>
    <w:rsid w:val="007F6772"/>
    <w:rsid w:val="007F6AD2"/>
    <w:rsid w:val="007F70D6"/>
    <w:rsid w:val="007F7237"/>
    <w:rsid w:val="007F7723"/>
    <w:rsid w:val="007F7733"/>
    <w:rsid w:val="007F7864"/>
    <w:rsid w:val="007F795B"/>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4ECF"/>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3E8"/>
    <w:rsid w:val="00810DE9"/>
    <w:rsid w:val="00810EAE"/>
    <w:rsid w:val="00811036"/>
    <w:rsid w:val="00812027"/>
    <w:rsid w:val="008123D5"/>
    <w:rsid w:val="008124FE"/>
    <w:rsid w:val="008127B0"/>
    <w:rsid w:val="00812FE3"/>
    <w:rsid w:val="0081362C"/>
    <w:rsid w:val="00813CE0"/>
    <w:rsid w:val="00814072"/>
    <w:rsid w:val="008142CD"/>
    <w:rsid w:val="0081433F"/>
    <w:rsid w:val="00814500"/>
    <w:rsid w:val="00814B38"/>
    <w:rsid w:val="00814B65"/>
    <w:rsid w:val="00814BD6"/>
    <w:rsid w:val="00814D2B"/>
    <w:rsid w:val="00814E13"/>
    <w:rsid w:val="008151F0"/>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2FF"/>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1BB"/>
    <w:rsid w:val="008333BB"/>
    <w:rsid w:val="0083417A"/>
    <w:rsid w:val="00834512"/>
    <w:rsid w:val="008349E7"/>
    <w:rsid w:val="0083502E"/>
    <w:rsid w:val="008350E9"/>
    <w:rsid w:val="00835B82"/>
    <w:rsid w:val="00836133"/>
    <w:rsid w:val="0083657B"/>
    <w:rsid w:val="00836916"/>
    <w:rsid w:val="00836B5B"/>
    <w:rsid w:val="0083768C"/>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39E"/>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9FF"/>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487"/>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ED6"/>
    <w:rsid w:val="00884255"/>
    <w:rsid w:val="0088425B"/>
    <w:rsid w:val="00884AD8"/>
    <w:rsid w:val="00884CDF"/>
    <w:rsid w:val="0088579F"/>
    <w:rsid w:val="00885D5D"/>
    <w:rsid w:val="00885EC9"/>
    <w:rsid w:val="00885F46"/>
    <w:rsid w:val="00885F7A"/>
    <w:rsid w:val="00886223"/>
    <w:rsid w:val="0088651F"/>
    <w:rsid w:val="0088697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5243"/>
    <w:rsid w:val="00895A0C"/>
    <w:rsid w:val="00895AA1"/>
    <w:rsid w:val="00895E55"/>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9E2"/>
    <w:rsid w:val="008A42D8"/>
    <w:rsid w:val="008A457F"/>
    <w:rsid w:val="008A4DAC"/>
    <w:rsid w:val="008A4E04"/>
    <w:rsid w:val="008A53C3"/>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392"/>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0027"/>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584"/>
    <w:rsid w:val="008F1CF8"/>
    <w:rsid w:val="008F211C"/>
    <w:rsid w:val="008F2201"/>
    <w:rsid w:val="008F2A8C"/>
    <w:rsid w:val="008F2AE7"/>
    <w:rsid w:val="008F3069"/>
    <w:rsid w:val="008F35F6"/>
    <w:rsid w:val="008F368F"/>
    <w:rsid w:val="008F3D2D"/>
    <w:rsid w:val="008F3D7C"/>
    <w:rsid w:val="008F3DC9"/>
    <w:rsid w:val="008F4107"/>
    <w:rsid w:val="008F4B0F"/>
    <w:rsid w:val="008F4BFE"/>
    <w:rsid w:val="008F4E3F"/>
    <w:rsid w:val="008F5406"/>
    <w:rsid w:val="008F5461"/>
    <w:rsid w:val="008F5866"/>
    <w:rsid w:val="008F595E"/>
    <w:rsid w:val="008F5EAD"/>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805"/>
    <w:rsid w:val="00912A63"/>
    <w:rsid w:val="00912A96"/>
    <w:rsid w:val="00912F6D"/>
    <w:rsid w:val="00913AF7"/>
    <w:rsid w:val="00913B67"/>
    <w:rsid w:val="00913EAE"/>
    <w:rsid w:val="00913F4C"/>
    <w:rsid w:val="0091404B"/>
    <w:rsid w:val="00914215"/>
    <w:rsid w:val="0091423A"/>
    <w:rsid w:val="00914445"/>
    <w:rsid w:val="00914A5D"/>
    <w:rsid w:val="00915032"/>
    <w:rsid w:val="00915143"/>
    <w:rsid w:val="009151C0"/>
    <w:rsid w:val="0091537E"/>
    <w:rsid w:val="00915399"/>
    <w:rsid w:val="009154BD"/>
    <w:rsid w:val="00915570"/>
    <w:rsid w:val="009156C5"/>
    <w:rsid w:val="0091610F"/>
    <w:rsid w:val="009161BA"/>
    <w:rsid w:val="00917E0B"/>
    <w:rsid w:val="0092078E"/>
    <w:rsid w:val="00920848"/>
    <w:rsid w:val="00920B0E"/>
    <w:rsid w:val="00921530"/>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507E"/>
    <w:rsid w:val="009250C2"/>
    <w:rsid w:val="00925267"/>
    <w:rsid w:val="00925579"/>
    <w:rsid w:val="00925836"/>
    <w:rsid w:val="009259E2"/>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747"/>
    <w:rsid w:val="00934FFD"/>
    <w:rsid w:val="009359C0"/>
    <w:rsid w:val="00935B52"/>
    <w:rsid w:val="009360F7"/>
    <w:rsid w:val="0093634D"/>
    <w:rsid w:val="0093672B"/>
    <w:rsid w:val="00936B8C"/>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00A"/>
    <w:rsid w:val="00953424"/>
    <w:rsid w:val="009537A7"/>
    <w:rsid w:val="00953B1F"/>
    <w:rsid w:val="00953C21"/>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1E9"/>
    <w:rsid w:val="00956957"/>
    <w:rsid w:val="009573C6"/>
    <w:rsid w:val="009573C8"/>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757"/>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8CE"/>
    <w:rsid w:val="00983B9C"/>
    <w:rsid w:val="00983BD1"/>
    <w:rsid w:val="00983C41"/>
    <w:rsid w:val="00984206"/>
    <w:rsid w:val="00984235"/>
    <w:rsid w:val="00984C8E"/>
    <w:rsid w:val="00984E26"/>
    <w:rsid w:val="0098511E"/>
    <w:rsid w:val="00985133"/>
    <w:rsid w:val="0098541D"/>
    <w:rsid w:val="0098582F"/>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5EF9"/>
    <w:rsid w:val="009A6127"/>
    <w:rsid w:val="009A62DC"/>
    <w:rsid w:val="009A637B"/>
    <w:rsid w:val="009A6456"/>
    <w:rsid w:val="009A6C74"/>
    <w:rsid w:val="009A6EE7"/>
    <w:rsid w:val="009A7154"/>
    <w:rsid w:val="009A78D1"/>
    <w:rsid w:val="009A7DFB"/>
    <w:rsid w:val="009A7E08"/>
    <w:rsid w:val="009B003C"/>
    <w:rsid w:val="009B03D3"/>
    <w:rsid w:val="009B1823"/>
    <w:rsid w:val="009B1E6C"/>
    <w:rsid w:val="009B2E47"/>
    <w:rsid w:val="009B3685"/>
    <w:rsid w:val="009B3745"/>
    <w:rsid w:val="009B3C79"/>
    <w:rsid w:val="009B3D47"/>
    <w:rsid w:val="009B4250"/>
    <w:rsid w:val="009B4821"/>
    <w:rsid w:val="009B4C1C"/>
    <w:rsid w:val="009B4C24"/>
    <w:rsid w:val="009B5821"/>
    <w:rsid w:val="009B63EA"/>
    <w:rsid w:val="009B70E9"/>
    <w:rsid w:val="009B7564"/>
    <w:rsid w:val="009B7BB7"/>
    <w:rsid w:val="009B7D5C"/>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23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4F1"/>
    <w:rsid w:val="009F187B"/>
    <w:rsid w:val="009F1933"/>
    <w:rsid w:val="009F26C0"/>
    <w:rsid w:val="009F2A94"/>
    <w:rsid w:val="009F2AAF"/>
    <w:rsid w:val="009F2E7E"/>
    <w:rsid w:val="009F3A4B"/>
    <w:rsid w:val="009F4196"/>
    <w:rsid w:val="009F41E1"/>
    <w:rsid w:val="009F4375"/>
    <w:rsid w:val="009F483A"/>
    <w:rsid w:val="009F4F05"/>
    <w:rsid w:val="009F4FA3"/>
    <w:rsid w:val="009F5606"/>
    <w:rsid w:val="009F5902"/>
    <w:rsid w:val="009F5CA4"/>
    <w:rsid w:val="009F6410"/>
    <w:rsid w:val="009F6457"/>
    <w:rsid w:val="009F7169"/>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4EEC"/>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DC4"/>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79E"/>
    <w:rsid w:val="00A2104B"/>
    <w:rsid w:val="00A210E9"/>
    <w:rsid w:val="00A218AE"/>
    <w:rsid w:val="00A21A9D"/>
    <w:rsid w:val="00A21AAA"/>
    <w:rsid w:val="00A21E51"/>
    <w:rsid w:val="00A2208A"/>
    <w:rsid w:val="00A22132"/>
    <w:rsid w:val="00A22207"/>
    <w:rsid w:val="00A22389"/>
    <w:rsid w:val="00A2260A"/>
    <w:rsid w:val="00A22664"/>
    <w:rsid w:val="00A23243"/>
    <w:rsid w:val="00A23590"/>
    <w:rsid w:val="00A2384B"/>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AFB"/>
    <w:rsid w:val="00A34BE5"/>
    <w:rsid w:val="00A34DA0"/>
    <w:rsid w:val="00A35A0B"/>
    <w:rsid w:val="00A35BD0"/>
    <w:rsid w:val="00A362CB"/>
    <w:rsid w:val="00A3651A"/>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CA0"/>
    <w:rsid w:val="00A46F5A"/>
    <w:rsid w:val="00A46FAD"/>
    <w:rsid w:val="00A47B4B"/>
    <w:rsid w:val="00A5044D"/>
    <w:rsid w:val="00A509DE"/>
    <w:rsid w:val="00A50B00"/>
    <w:rsid w:val="00A50D49"/>
    <w:rsid w:val="00A511FB"/>
    <w:rsid w:val="00A514EB"/>
    <w:rsid w:val="00A516EF"/>
    <w:rsid w:val="00A521E0"/>
    <w:rsid w:val="00A524C8"/>
    <w:rsid w:val="00A5291D"/>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3F6F"/>
    <w:rsid w:val="00A84298"/>
    <w:rsid w:val="00A844CE"/>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4D67"/>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6BD0"/>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4F2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2B64"/>
    <w:rsid w:val="00B13003"/>
    <w:rsid w:val="00B13123"/>
    <w:rsid w:val="00B137BE"/>
    <w:rsid w:val="00B13829"/>
    <w:rsid w:val="00B13F1F"/>
    <w:rsid w:val="00B14251"/>
    <w:rsid w:val="00B147CC"/>
    <w:rsid w:val="00B14994"/>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F9A"/>
    <w:rsid w:val="00B2613A"/>
    <w:rsid w:val="00B263BE"/>
    <w:rsid w:val="00B2683D"/>
    <w:rsid w:val="00B269CE"/>
    <w:rsid w:val="00B271E3"/>
    <w:rsid w:val="00B2757B"/>
    <w:rsid w:val="00B27D54"/>
    <w:rsid w:val="00B3057A"/>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389"/>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57A9C"/>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2E9"/>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A49"/>
    <w:rsid w:val="00B70EDB"/>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E85"/>
    <w:rsid w:val="00B85F67"/>
    <w:rsid w:val="00B86557"/>
    <w:rsid w:val="00B86D87"/>
    <w:rsid w:val="00B87AF3"/>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A56"/>
    <w:rsid w:val="00BA4C7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4A7"/>
    <w:rsid w:val="00BF04B1"/>
    <w:rsid w:val="00BF0963"/>
    <w:rsid w:val="00BF0A66"/>
    <w:rsid w:val="00BF0CB3"/>
    <w:rsid w:val="00BF10D2"/>
    <w:rsid w:val="00BF10D6"/>
    <w:rsid w:val="00BF120B"/>
    <w:rsid w:val="00BF1309"/>
    <w:rsid w:val="00BF18B9"/>
    <w:rsid w:val="00BF1B70"/>
    <w:rsid w:val="00BF1FA2"/>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C2"/>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5F3E"/>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73E"/>
    <w:rsid w:val="00C14EF8"/>
    <w:rsid w:val="00C15135"/>
    <w:rsid w:val="00C15902"/>
    <w:rsid w:val="00C159ED"/>
    <w:rsid w:val="00C15D8C"/>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7CE"/>
    <w:rsid w:val="00C20A2D"/>
    <w:rsid w:val="00C20DD5"/>
    <w:rsid w:val="00C20F2A"/>
    <w:rsid w:val="00C226CE"/>
    <w:rsid w:val="00C22703"/>
    <w:rsid w:val="00C227E3"/>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758"/>
    <w:rsid w:val="00C34BDB"/>
    <w:rsid w:val="00C34C05"/>
    <w:rsid w:val="00C34D4B"/>
    <w:rsid w:val="00C34D69"/>
    <w:rsid w:val="00C34F16"/>
    <w:rsid w:val="00C351D2"/>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D2B"/>
    <w:rsid w:val="00C41E8D"/>
    <w:rsid w:val="00C42130"/>
    <w:rsid w:val="00C42784"/>
    <w:rsid w:val="00C429E1"/>
    <w:rsid w:val="00C4301B"/>
    <w:rsid w:val="00C439F0"/>
    <w:rsid w:val="00C43CE7"/>
    <w:rsid w:val="00C44189"/>
    <w:rsid w:val="00C447FB"/>
    <w:rsid w:val="00C44F96"/>
    <w:rsid w:val="00C44FF2"/>
    <w:rsid w:val="00C4587D"/>
    <w:rsid w:val="00C45C66"/>
    <w:rsid w:val="00C464A1"/>
    <w:rsid w:val="00C470AA"/>
    <w:rsid w:val="00C476E4"/>
    <w:rsid w:val="00C47AE8"/>
    <w:rsid w:val="00C47B93"/>
    <w:rsid w:val="00C47BDE"/>
    <w:rsid w:val="00C47EC4"/>
    <w:rsid w:val="00C508B7"/>
    <w:rsid w:val="00C509D3"/>
    <w:rsid w:val="00C51696"/>
    <w:rsid w:val="00C5193F"/>
    <w:rsid w:val="00C51D11"/>
    <w:rsid w:val="00C51D30"/>
    <w:rsid w:val="00C51F21"/>
    <w:rsid w:val="00C521CD"/>
    <w:rsid w:val="00C5257E"/>
    <w:rsid w:val="00C52670"/>
    <w:rsid w:val="00C52DD4"/>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169"/>
    <w:rsid w:val="00C633AB"/>
    <w:rsid w:val="00C6343A"/>
    <w:rsid w:val="00C636B0"/>
    <w:rsid w:val="00C64849"/>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F34"/>
    <w:rsid w:val="00C70366"/>
    <w:rsid w:val="00C70400"/>
    <w:rsid w:val="00C7040D"/>
    <w:rsid w:val="00C70B8C"/>
    <w:rsid w:val="00C71327"/>
    <w:rsid w:val="00C7146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81"/>
    <w:rsid w:val="00C864DB"/>
    <w:rsid w:val="00C8669B"/>
    <w:rsid w:val="00C86A4C"/>
    <w:rsid w:val="00C870BA"/>
    <w:rsid w:val="00C8781D"/>
    <w:rsid w:val="00C878E9"/>
    <w:rsid w:val="00C87AF9"/>
    <w:rsid w:val="00C901A9"/>
    <w:rsid w:val="00C9047A"/>
    <w:rsid w:val="00C905AC"/>
    <w:rsid w:val="00C9065E"/>
    <w:rsid w:val="00C90912"/>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DB2"/>
    <w:rsid w:val="00CA41A3"/>
    <w:rsid w:val="00CA4586"/>
    <w:rsid w:val="00CA49C0"/>
    <w:rsid w:val="00CA4A24"/>
    <w:rsid w:val="00CA4A3F"/>
    <w:rsid w:val="00CA4C14"/>
    <w:rsid w:val="00CA4D19"/>
    <w:rsid w:val="00CA4F58"/>
    <w:rsid w:val="00CA51A0"/>
    <w:rsid w:val="00CA5DA3"/>
    <w:rsid w:val="00CA6164"/>
    <w:rsid w:val="00CA6734"/>
    <w:rsid w:val="00CA6BDF"/>
    <w:rsid w:val="00CB0072"/>
    <w:rsid w:val="00CB01BC"/>
    <w:rsid w:val="00CB03CF"/>
    <w:rsid w:val="00CB047F"/>
    <w:rsid w:val="00CB11BD"/>
    <w:rsid w:val="00CB1368"/>
    <w:rsid w:val="00CB167F"/>
    <w:rsid w:val="00CB1F2A"/>
    <w:rsid w:val="00CB2655"/>
    <w:rsid w:val="00CB27D1"/>
    <w:rsid w:val="00CB299C"/>
    <w:rsid w:val="00CB2BBA"/>
    <w:rsid w:val="00CB35ED"/>
    <w:rsid w:val="00CB39EB"/>
    <w:rsid w:val="00CB41E7"/>
    <w:rsid w:val="00CB42F8"/>
    <w:rsid w:val="00CB480A"/>
    <w:rsid w:val="00CB4FA5"/>
    <w:rsid w:val="00CB5008"/>
    <w:rsid w:val="00CB58DD"/>
    <w:rsid w:val="00CB59CB"/>
    <w:rsid w:val="00CB5CF1"/>
    <w:rsid w:val="00CB6343"/>
    <w:rsid w:val="00CB6517"/>
    <w:rsid w:val="00CB7648"/>
    <w:rsid w:val="00CB797B"/>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DF5"/>
    <w:rsid w:val="00CD04B6"/>
    <w:rsid w:val="00CD0740"/>
    <w:rsid w:val="00CD0768"/>
    <w:rsid w:val="00CD0822"/>
    <w:rsid w:val="00CD0B87"/>
    <w:rsid w:val="00CD0E01"/>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291"/>
    <w:rsid w:val="00CD492B"/>
    <w:rsid w:val="00CD5ADA"/>
    <w:rsid w:val="00CD5C02"/>
    <w:rsid w:val="00CD5F80"/>
    <w:rsid w:val="00CD61E3"/>
    <w:rsid w:val="00CD6823"/>
    <w:rsid w:val="00CD6D63"/>
    <w:rsid w:val="00CD6E0B"/>
    <w:rsid w:val="00CD787F"/>
    <w:rsid w:val="00CD7A86"/>
    <w:rsid w:val="00CE025E"/>
    <w:rsid w:val="00CE030D"/>
    <w:rsid w:val="00CE03B6"/>
    <w:rsid w:val="00CE05B4"/>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4B7"/>
    <w:rsid w:val="00CE5386"/>
    <w:rsid w:val="00CE53A7"/>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1AE"/>
    <w:rsid w:val="00CF495B"/>
    <w:rsid w:val="00CF4B3B"/>
    <w:rsid w:val="00CF4F02"/>
    <w:rsid w:val="00CF4F88"/>
    <w:rsid w:val="00CF5EE9"/>
    <w:rsid w:val="00CF61A3"/>
    <w:rsid w:val="00CF66DE"/>
    <w:rsid w:val="00CF676B"/>
    <w:rsid w:val="00CF6848"/>
    <w:rsid w:val="00CF6AF3"/>
    <w:rsid w:val="00CF6C9A"/>
    <w:rsid w:val="00CF74F6"/>
    <w:rsid w:val="00CF76AE"/>
    <w:rsid w:val="00CF7CCF"/>
    <w:rsid w:val="00CF7D8D"/>
    <w:rsid w:val="00D00096"/>
    <w:rsid w:val="00D0033A"/>
    <w:rsid w:val="00D00522"/>
    <w:rsid w:val="00D00B22"/>
    <w:rsid w:val="00D00FCA"/>
    <w:rsid w:val="00D017EE"/>
    <w:rsid w:val="00D01C73"/>
    <w:rsid w:val="00D021B4"/>
    <w:rsid w:val="00D02369"/>
    <w:rsid w:val="00D02AFC"/>
    <w:rsid w:val="00D02C36"/>
    <w:rsid w:val="00D02E17"/>
    <w:rsid w:val="00D02F2F"/>
    <w:rsid w:val="00D0321D"/>
    <w:rsid w:val="00D039A0"/>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27F"/>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4D0C"/>
    <w:rsid w:val="00D1552A"/>
    <w:rsid w:val="00D15D9D"/>
    <w:rsid w:val="00D1624D"/>
    <w:rsid w:val="00D16996"/>
    <w:rsid w:val="00D17869"/>
    <w:rsid w:val="00D1792B"/>
    <w:rsid w:val="00D17F37"/>
    <w:rsid w:val="00D202D3"/>
    <w:rsid w:val="00D2171B"/>
    <w:rsid w:val="00D217CE"/>
    <w:rsid w:val="00D21A77"/>
    <w:rsid w:val="00D21E67"/>
    <w:rsid w:val="00D22148"/>
    <w:rsid w:val="00D22166"/>
    <w:rsid w:val="00D229A3"/>
    <w:rsid w:val="00D22D40"/>
    <w:rsid w:val="00D2348D"/>
    <w:rsid w:val="00D23556"/>
    <w:rsid w:val="00D239F9"/>
    <w:rsid w:val="00D23A1F"/>
    <w:rsid w:val="00D23B89"/>
    <w:rsid w:val="00D23CE2"/>
    <w:rsid w:val="00D2406F"/>
    <w:rsid w:val="00D244D5"/>
    <w:rsid w:val="00D24D04"/>
    <w:rsid w:val="00D2502C"/>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3CED"/>
    <w:rsid w:val="00D3410B"/>
    <w:rsid w:val="00D344C9"/>
    <w:rsid w:val="00D358B2"/>
    <w:rsid w:val="00D359BB"/>
    <w:rsid w:val="00D35FCC"/>
    <w:rsid w:val="00D3609F"/>
    <w:rsid w:val="00D3610A"/>
    <w:rsid w:val="00D366C8"/>
    <w:rsid w:val="00D36885"/>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E8"/>
    <w:rsid w:val="00D426FB"/>
    <w:rsid w:val="00D42B71"/>
    <w:rsid w:val="00D42BEF"/>
    <w:rsid w:val="00D42D5D"/>
    <w:rsid w:val="00D43888"/>
    <w:rsid w:val="00D4429F"/>
    <w:rsid w:val="00D44A5C"/>
    <w:rsid w:val="00D45B68"/>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90B"/>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4D11"/>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326"/>
    <w:rsid w:val="00D7643F"/>
    <w:rsid w:val="00D7648B"/>
    <w:rsid w:val="00D769F0"/>
    <w:rsid w:val="00D76E0D"/>
    <w:rsid w:val="00D76E83"/>
    <w:rsid w:val="00D771C9"/>
    <w:rsid w:val="00D778A3"/>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EF8"/>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D08"/>
    <w:rsid w:val="00D97E86"/>
    <w:rsid w:val="00DA000D"/>
    <w:rsid w:val="00DA015E"/>
    <w:rsid w:val="00DA02EC"/>
    <w:rsid w:val="00DA05B0"/>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655"/>
    <w:rsid w:val="00DA5CA9"/>
    <w:rsid w:val="00DA5E7E"/>
    <w:rsid w:val="00DA714A"/>
    <w:rsid w:val="00DA71AF"/>
    <w:rsid w:val="00DA727D"/>
    <w:rsid w:val="00DA7A85"/>
    <w:rsid w:val="00DA7BC7"/>
    <w:rsid w:val="00DA7E4C"/>
    <w:rsid w:val="00DA7EC1"/>
    <w:rsid w:val="00DB009D"/>
    <w:rsid w:val="00DB0564"/>
    <w:rsid w:val="00DB0D5D"/>
    <w:rsid w:val="00DB1539"/>
    <w:rsid w:val="00DB1F98"/>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B13"/>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67D"/>
    <w:rsid w:val="00DC3DE4"/>
    <w:rsid w:val="00DC4D82"/>
    <w:rsid w:val="00DC5015"/>
    <w:rsid w:val="00DC522F"/>
    <w:rsid w:val="00DC588E"/>
    <w:rsid w:val="00DC5E7A"/>
    <w:rsid w:val="00DC6035"/>
    <w:rsid w:val="00DC65D8"/>
    <w:rsid w:val="00DC6870"/>
    <w:rsid w:val="00DC69C6"/>
    <w:rsid w:val="00DC6A94"/>
    <w:rsid w:val="00DC6E29"/>
    <w:rsid w:val="00DC73C7"/>
    <w:rsid w:val="00DC7680"/>
    <w:rsid w:val="00DC7890"/>
    <w:rsid w:val="00DC79A3"/>
    <w:rsid w:val="00DC7E92"/>
    <w:rsid w:val="00DD02C4"/>
    <w:rsid w:val="00DD044C"/>
    <w:rsid w:val="00DD128A"/>
    <w:rsid w:val="00DD12B1"/>
    <w:rsid w:val="00DD12B5"/>
    <w:rsid w:val="00DD18BD"/>
    <w:rsid w:val="00DD1947"/>
    <w:rsid w:val="00DD1E75"/>
    <w:rsid w:val="00DD1ED7"/>
    <w:rsid w:val="00DD242B"/>
    <w:rsid w:val="00DD2DEB"/>
    <w:rsid w:val="00DD2FE5"/>
    <w:rsid w:val="00DD32DF"/>
    <w:rsid w:val="00DD3401"/>
    <w:rsid w:val="00DD3430"/>
    <w:rsid w:val="00DD3480"/>
    <w:rsid w:val="00DD3565"/>
    <w:rsid w:val="00DD3C20"/>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4C6"/>
    <w:rsid w:val="00DE3E7C"/>
    <w:rsid w:val="00DE464E"/>
    <w:rsid w:val="00DE4664"/>
    <w:rsid w:val="00DE4811"/>
    <w:rsid w:val="00DE4B0C"/>
    <w:rsid w:val="00DE5FDA"/>
    <w:rsid w:val="00DE61AA"/>
    <w:rsid w:val="00DE72D7"/>
    <w:rsid w:val="00DE73EF"/>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5C2"/>
    <w:rsid w:val="00DF360E"/>
    <w:rsid w:val="00DF3623"/>
    <w:rsid w:val="00DF3A2C"/>
    <w:rsid w:val="00DF3F90"/>
    <w:rsid w:val="00DF4158"/>
    <w:rsid w:val="00DF4430"/>
    <w:rsid w:val="00DF4920"/>
    <w:rsid w:val="00DF4DEA"/>
    <w:rsid w:val="00DF4F19"/>
    <w:rsid w:val="00DF5002"/>
    <w:rsid w:val="00DF5270"/>
    <w:rsid w:val="00DF5588"/>
    <w:rsid w:val="00DF5B4C"/>
    <w:rsid w:val="00DF5C89"/>
    <w:rsid w:val="00DF6014"/>
    <w:rsid w:val="00DF6238"/>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8E6"/>
    <w:rsid w:val="00E02C20"/>
    <w:rsid w:val="00E0324B"/>
    <w:rsid w:val="00E0345F"/>
    <w:rsid w:val="00E03BEA"/>
    <w:rsid w:val="00E03CB4"/>
    <w:rsid w:val="00E0401E"/>
    <w:rsid w:val="00E04234"/>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0DA9"/>
    <w:rsid w:val="00E11EB8"/>
    <w:rsid w:val="00E1273A"/>
    <w:rsid w:val="00E12933"/>
    <w:rsid w:val="00E12A5A"/>
    <w:rsid w:val="00E12AF0"/>
    <w:rsid w:val="00E136AE"/>
    <w:rsid w:val="00E139D0"/>
    <w:rsid w:val="00E14262"/>
    <w:rsid w:val="00E143F1"/>
    <w:rsid w:val="00E145A7"/>
    <w:rsid w:val="00E145E0"/>
    <w:rsid w:val="00E147E5"/>
    <w:rsid w:val="00E14913"/>
    <w:rsid w:val="00E149D5"/>
    <w:rsid w:val="00E14B4A"/>
    <w:rsid w:val="00E150B1"/>
    <w:rsid w:val="00E15352"/>
    <w:rsid w:val="00E153A7"/>
    <w:rsid w:val="00E154A1"/>
    <w:rsid w:val="00E15ED2"/>
    <w:rsid w:val="00E164E8"/>
    <w:rsid w:val="00E1654E"/>
    <w:rsid w:val="00E16704"/>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1AAC"/>
    <w:rsid w:val="00E3200D"/>
    <w:rsid w:val="00E32E0E"/>
    <w:rsid w:val="00E3305B"/>
    <w:rsid w:val="00E33506"/>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038C"/>
    <w:rsid w:val="00E40A63"/>
    <w:rsid w:val="00E40DA1"/>
    <w:rsid w:val="00E414CB"/>
    <w:rsid w:val="00E41BAC"/>
    <w:rsid w:val="00E42532"/>
    <w:rsid w:val="00E42D71"/>
    <w:rsid w:val="00E430BF"/>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47DF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1C0"/>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166"/>
    <w:rsid w:val="00E71952"/>
    <w:rsid w:val="00E71DF1"/>
    <w:rsid w:val="00E71EDB"/>
    <w:rsid w:val="00E723D3"/>
    <w:rsid w:val="00E7242A"/>
    <w:rsid w:val="00E72737"/>
    <w:rsid w:val="00E72ABE"/>
    <w:rsid w:val="00E72BCC"/>
    <w:rsid w:val="00E739A7"/>
    <w:rsid w:val="00E73E01"/>
    <w:rsid w:val="00E7449A"/>
    <w:rsid w:val="00E744BD"/>
    <w:rsid w:val="00E74B5A"/>
    <w:rsid w:val="00E7524F"/>
    <w:rsid w:val="00E7556D"/>
    <w:rsid w:val="00E75693"/>
    <w:rsid w:val="00E756FB"/>
    <w:rsid w:val="00E75918"/>
    <w:rsid w:val="00E76141"/>
    <w:rsid w:val="00E76270"/>
    <w:rsid w:val="00E76B45"/>
    <w:rsid w:val="00E77040"/>
    <w:rsid w:val="00E772C4"/>
    <w:rsid w:val="00E7748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450"/>
    <w:rsid w:val="00E90BF3"/>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410"/>
    <w:rsid w:val="00E97507"/>
    <w:rsid w:val="00E97512"/>
    <w:rsid w:val="00E97DC5"/>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2F4"/>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5EB2"/>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0E"/>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687C"/>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5DD"/>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3DB"/>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4EA5"/>
    <w:rsid w:val="00F05EED"/>
    <w:rsid w:val="00F068D2"/>
    <w:rsid w:val="00F06F02"/>
    <w:rsid w:val="00F10437"/>
    <w:rsid w:val="00F10465"/>
    <w:rsid w:val="00F10780"/>
    <w:rsid w:val="00F10864"/>
    <w:rsid w:val="00F1165E"/>
    <w:rsid w:val="00F11CF5"/>
    <w:rsid w:val="00F12B3D"/>
    <w:rsid w:val="00F13242"/>
    <w:rsid w:val="00F1403E"/>
    <w:rsid w:val="00F140FE"/>
    <w:rsid w:val="00F1415B"/>
    <w:rsid w:val="00F1418D"/>
    <w:rsid w:val="00F14FB4"/>
    <w:rsid w:val="00F15CF3"/>
    <w:rsid w:val="00F165FF"/>
    <w:rsid w:val="00F16BB1"/>
    <w:rsid w:val="00F1710E"/>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397"/>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4F52"/>
    <w:rsid w:val="00F351DE"/>
    <w:rsid w:val="00F3521B"/>
    <w:rsid w:val="00F35561"/>
    <w:rsid w:val="00F35865"/>
    <w:rsid w:val="00F35E92"/>
    <w:rsid w:val="00F360BA"/>
    <w:rsid w:val="00F366CE"/>
    <w:rsid w:val="00F369FF"/>
    <w:rsid w:val="00F377A2"/>
    <w:rsid w:val="00F37922"/>
    <w:rsid w:val="00F37AEF"/>
    <w:rsid w:val="00F37DC6"/>
    <w:rsid w:val="00F37E70"/>
    <w:rsid w:val="00F40C88"/>
    <w:rsid w:val="00F4157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192"/>
    <w:rsid w:val="00F542D8"/>
    <w:rsid w:val="00F54460"/>
    <w:rsid w:val="00F548C8"/>
    <w:rsid w:val="00F54B39"/>
    <w:rsid w:val="00F550B5"/>
    <w:rsid w:val="00F553D1"/>
    <w:rsid w:val="00F55410"/>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15E"/>
    <w:rsid w:val="00F737F5"/>
    <w:rsid w:val="00F73F43"/>
    <w:rsid w:val="00F7424C"/>
    <w:rsid w:val="00F74664"/>
    <w:rsid w:val="00F74791"/>
    <w:rsid w:val="00F747FD"/>
    <w:rsid w:val="00F74A7A"/>
    <w:rsid w:val="00F75057"/>
    <w:rsid w:val="00F75C0B"/>
    <w:rsid w:val="00F763DF"/>
    <w:rsid w:val="00F77028"/>
    <w:rsid w:val="00F7792A"/>
    <w:rsid w:val="00F77A6F"/>
    <w:rsid w:val="00F77C47"/>
    <w:rsid w:val="00F77CFA"/>
    <w:rsid w:val="00F802D3"/>
    <w:rsid w:val="00F80A32"/>
    <w:rsid w:val="00F80D8F"/>
    <w:rsid w:val="00F8116A"/>
    <w:rsid w:val="00F81311"/>
    <w:rsid w:val="00F81625"/>
    <w:rsid w:val="00F81A54"/>
    <w:rsid w:val="00F81B5F"/>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8E0"/>
    <w:rsid w:val="00FA4EDE"/>
    <w:rsid w:val="00FA50E8"/>
    <w:rsid w:val="00FA526F"/>
    <w:rsid w:val="00FA53C1"/>
    <w:rsid w:val="00FA5527"/>
    <w:rsid w:val="00FA558C"/>
    <w:rsid w:val="00FA5710"/>
    <w:rsid w:val="00FA5871"/>
    <w:rsid w:val="00FA589E"/>
    <w:rsid w:val="00FA5909"/>
    <w:rsid w:val="00FA5A96"/>
    <w:rsid w:val="00FA5DCB"/>
    <w:rsid w:val="00FA6225"/>
    <w:rsid w:val="00FA656D"/>
    <w:rsid w:val="00FA65C9"/>
    <w:rsid w:val="00FA6686"/>
    <w:rsid w:val="00FA6A8C"/>
    <w:rsid w:val="00FA6E07"/>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C9B"/>
    <w:rsid w:val="00FC6D8C"/>
    <w:rsid w:val="00FC6DA4"/>
    <w:rsid w:val="00FC791E"/>
    <w:rsid w:val="00FC7F93"/>
    <w:rsid w:val="00FD10D2"/>
    <w:rsid w:val="00FD235B"/>
    <w:rsid w:val="00FD2804"/>
    <w:rsid w:val="00FD282A"/>
    <w:rsid w:val="00FD2A71"/>
    <w:rsid w:val="00FD3124"/>
    <w:rsid w:val="00FD3905"/>
    <w:rsid w:val="00FD49E9"/>
    <w:rsid w:val="00FD4CC0"/>
    <w:rsid w:val="00FD5999"/>
    <w:rsid w:val="00FD6318"/>
    <w:rsid w:val="00FD6A3D"/>
    <w:rsid w:val="00FD6D13"/>
    <w:rsid w:val="00FD6F9D"/>
    <w:rsid w:val="00FD72D9"/>
    <w:rsid w:val="00FD73AE"/>
    <w:rsid w:val="00FD7D6B"/>
    <w:rsid w:val="00FE00DC"/>
    <w:rsid w:val="00FE0477"/>
    <w:rsid w:val="00FE0657"/>
    <w:rsid w:val="00FE0E08"/>
    <w:rsid w:val="00FE15F5"/>
    <w:rsid w:val="00FE1728"/>
    <w:rsid w:val="00FE1EC0"/>
    <w:rsid w:val="00FE22FE"/>
    <w:rsid w:val="00FE2B7B"/>
    <w:rsid w:val="00FE3100"/>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455"/>
    <w:rsid w:val="00FF1716"/>
    <w:rsid w:val="00FF1920"/>
    <w:rsid w:val="00FF1ACF"/>
    <w:rsid w:val="00FF26B7"/>
    <w:rsid w:val="00FF2A88"/>
    <w:rsid w:val="00FF303D"/>
    <w:rsid w:val="00FF37C5"/>
    <w:rsid w:val="00FF3A12"/>
    <w:rsid w:val="00FF3C0B"/>
    <w:rsid w:val="00FF3CFC"/>
    <w:rsid w:val="00FF40CB"/>
    <w:rsid w:val="00FF43AF"/>
    <w:rsid w:val="00FF48E0"/>
    <w:rsid w:val="00FF5026"/>
    <w:rsid w:val="00FF5173"/>
    <w:rsid w:val="00FF51D0"/>
    <w:rsid w:val="00FF52CC"/>
    <w:rsid w:val="00FF52E3"/>
    <w:rsid w:val="00FF56EB"/>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105EFB"/>
    <w:pPr>
      <w:overflowPunct/>
      <w:autoSpaceDE/>
      <w:autoSpaceDN/>
      <w:adjustRightInd/>
      <w:spacing w:after="120"/>
      <w:textAlignment w:val="auto"/>
    </w:pPr>
    <w:rPr>
      <w:rFonts w:eastAsia="Calibri"/>
      <w:szCs w:val="22"/>
      <w:lang w:val="en-GB"/>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105EFB"/>
    <w:rPr>
      <w:rFonts w:ascii="Times New Roman" w:eastAsia="Calibri" w:hAnsi="Times New Roman"/>
      <w:szCs w:val="22"/>
      <w:lang w:val="en-GB"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ReferenceChar">
    <w:name w:val="Reference Char"/>
    <w:link w:val="Reference"/>
    <w:rsid w:val="007429CA"/>
    <w:rPr>
      <w:rFonts w:ascii="Times New Roman" w:hAnsi="Times New Roman"/>
      <w:lang w:eastAsia="ar-SA"/>
    </w:rPr>
  </w:style>
  <w:style w:type="paragraph" w:styleId="TableofFigures">
    <w:name w:val="table of figures"/>
    <w:basedOn w:val="Normal"/>
    <w:next w:val="Normal"/>
    <w:uiPriority w:val="99"/>
    <w:unhideWhenUsed/>
    <w:rsid w:val="003B4AAF"/>
    <w:pPr>
      <w:spacing w:before="12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158609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673478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420634627">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132231">
          <w:marLeft w:val="1166"/>
          <w:marRight w:val="0"/>
          <w:marTop w:val="9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1173837065">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139036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608776937">
          <w:marLeft w:val="547"/>
          <w:marRight w:val="0"/>
          <w:marTop w:val="115"/>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11482863">
          <w:marLeft w:val="1166"/>
          <w:marRight w:val="0"/>
          <w:marTop w:val="9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512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1826896200">
          <w:marLeft w:val="1166"/>
          <w:marRight w:val="0"/>
          <w:marTop w:val="9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309676008">
          <w:marLeft w:val="1627"/>
          <w:marRight w:val="0"/>
          <w:marTop w:val="86"/>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188954">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1020231415">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336428114">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HR33RHYHUWRF-4-5879</_dlc_DocId>
    <_dlc_DocIdUrl xmlns="c06861ca-3f08-4d07-bff7-bb15bac121f4">
      <Url>https://projects.qualcomm.com/sites/pentari/_layouts/15/DocIdRedir.aspx?ID=HR33RHYHUWRF-4-5879</Url>
      <Description>HR33RHYHUWRF-4-5879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F1C0A4-22E8-4C47-8608-D496E1DD8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3904</Words>
  <Characters>22254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L1 Broadcast Control Channel</vt:lpstr>
    </vt:vector>
  </TitlesOfParts>
  <Company>Qualcomm Inc.</Company>
  <LinksUpToDate>false</LinksUpToDate>
  <CharactersWithSpaces>26106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L1 Broadcast Control Channel</dc:title>
  <dc:subject/>
  <dc:creator>Qualcomm Inc.</dc:creator>
  <cp:keywords/>
  <cp:lastModifiedBy>Peter Ang</cp:lastModifiedBy>
  <cp:revision>3</cp:revision>
  <cp:lastPrinted>2014-11-07T05:38:00Z</cp:lastPrinted>
  <dcterms:created xsi:type="dcterms:W3CDTF">2017-10-03T05:30:00Z</dcterms:created>
  <dcterms:modified xsi:type="dcterms:W3CDTF">2017-10-03T05:31:00Z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b6410686-8ad2-47d0-9bca-3cb49e6320e6</vt:lpwstr>
  </property>
</Properties>
</file>